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7D7074" w14:textId="3D8F4839" w:rsidR="004E77D6" w:rsidRPr="00150067" w:rsidRDefault="00150067" w:rsidP="00376479">
      <w:pPr>
        <w:widowControl w:val="0"/>
        <w:autoSpaceDE w:val="0"/>
        <w:autoSpaceDN w:val="0"/>
        <w:adjustRightInd w:val="0"/>
        <w:jc w:val="center"/>
        <w:rPr>
          <w:rFonts w:ascii="Times New Roman" w:hAnsi="Times New Roman" w:cs="Times New Roman"/>
          <w:b/>
          <w:bCs/>
          <w:sz w:val="28"/>
          <w:szCs w:val="28"/>
        </w:rPr>
      </w:pPr>
      <w:r w:rsidRPr="00150067">
        <w:rPr>
          <w:rFonts w:ascii="Times New Roman" w:hAnsi="Times New Roman" w:cs="Times New Roman"/>
          <w:b/>
          <w:bCs/>
          <w:sz w:val="28"/>
          <w:szCs w:val="28"/>
        </w:rPr>
        <w:t xml:space="preserve">THE PAST, PRESENT, AND FUTURE OF THE </w:t>
      </w:r>
    </w:p>
    <w:p w14:paraId="74E24DF7" w14:textId="7324C27A" w:rsidR="00376479" w:rsidRPr="004E77D6" w:rsidRDefault="00150067" w:rsidP="00376479">
      <w:pPr>
        <w:widowControl w:val="0"/>
        <w:autoSpaceDE w:val="0"/>
        <w:autoSpaceDN w:val="0"/>
        <w:adjustRightInd w:val="0"/>
        <w:jc w:val="center"/>
        <w:rPr>
          <w:rFonts w:ascii="Times New Roman" w:hAnsi="Times New Roman" w:cs="Times New Roman"/>
          <w:sz w:val="28"/>
          <w:szCs w:val="28"/>
          <w:u w:val="single"/>
        </w:rPr>
      </w:pPr>
      <w:r w:rsidRPr="00150067">
        <w:rPr>
          <w:rFonts w:ascii="Times New Roman" w:hAnsi="Times New Roman" w:cs="Times New Roman"/>
          <w:b/>
          <w:bCs/>
          <w:sz w:val="28"/>
          <w:szCs w:val="28"/>
        </w:rPr>
        <w:t>DOCTRINE OF “MANIFEST DISREGARD”</w:t>
      </w:r>
    </w:p>
    <w:p w14:paraId="499DC36E" w14:textId="77777777" w:rsidR="00376479" w:rsidRPr="00617A78" w:rsidRDefault="00376479" w:rsidP="00376479">
      <w:pPr>
        <w:widowControl w:val="0"/>
        <w:autoSpaceDE w:val="0"/>
        <w:autoSpaceDN w:val="0"/>
        <w:adjustRightInd w:val="0"/>
        <w:jc w:val="center"/>
        <w:rPr>
          <w:rFonts w:ascii="Times New Roman" w:hAnsi="Times New Roman" w:cs="Times New Roman"/>
          <w:b/>
          <w:bCs/>
          <w:sz w:val="32"/>
          <w:szCs w:val="32"/>
        </w:rPr>
      </w:pPr>
    </w:p>
    <w:p w14:paraId="28D5E662" w14:textId="700E6FE2" w:rsidR="00376479" w:rsidRPr="00150067" w:rsidRDefault="00376479" w:rsidP="00376479">
      <w:pPr>
        <w:widowControl w:val="0"/>
        <w:autoSpaceDE w:val="0"/>
        <w:autoSpaceDN w:val="0"/>
        <w:adjustRightInd w:val="0"/>
        <w:jc w:val="center"/>
        <w:rPr>
          <w:rFonts w:ascii="Times New Roman" w:hAnsi="Times New Roman" w:cs="Times New Roman"/>
        </w:rPr>
      </w:pPr>
      <w:r w:rsidRPr="00150067">
        <w:rPr>
          <w:rFonts w:ascii="Times New Roman" w:hAnsi="Times New Roman" w:cs="Times New Roman"/>
          <w:b/>
          <w:bCs/>
        </w:rPr>
        <w:t xml:space="preserve">Carl J. </w:t>
      </w:r>
      <w:proofErr w:type="spellStart"/>
      <w:r w:rsidRPr="00150067">
        <w:rPr>
          <w:rFonts w:ascii="Times New Roman" w:hAnsi="Times New Roman" w:cs="Times New Roman"/>
          <w:b/>
          <w:bCs/>
        </w:rPr>
        <w:t>Mudd</w:t>
      </w:r>
      <w:proofErr w:type="spellEnd"/>
    </w:p>
    <w:p w14:paraId="445F35F1" w14:textId="77777777" w:rsidR="00376479" w:rsidRPr="00617A78" w:rsidRDefault="00376479" w:rsidP="00D67DE9">
      <w:pPr>
        <w:widowControl w:val="0"/>
        <w:rPr>
          <w:rFonts w:ascii="Times New Roman" w:hAnsi="Times New Roman" w:cs="Times New Roman"/>
          <w:b/>
          <w:u w:val="single"/>
        </w:rPr>
      </w:pPr>
    </w:p>
    <w:p w14:paraId="41A346DB" w14:textId="7BA6BE52" w:rsidR="00A2561C" w:rsidRDefault="003964A5" w:rsidP="004E77D6">
      <w:pPr>
        <w:pStyle w:val="ListParagraph"/>
        <w:widowControl w:val="0"/>
        <w:numPr>
          <w:ilvl w:val="0"/>
          <w:numId w:val="1"/>
        </w:numPr>
        <w:rPr>
          <w:rFonts w:ascii="Times New Roman" w:hAnsi="Times New Roman" w:cs="Times New Roman"/>
          <w:b/>
          <w:u w:val="single"/>
        </w:rPr>
      </w:pPr>
      <w:r w:rsidRPr="00617A78">
        <w:rPr>
          <w:rFonts w:ascii="Times New Roman" w:hAnsi="Times New Roman" w:cs="Times New Roman"/>
          <w:b/>
          <w:u w:val="single"/>
        </w:rPr>
        <w:t>Introduction</w:t>
      </w:r>
    </w:p>
    <w:p w14:paraId="446BCD51" w14:textId="77777777" w:rsidR="00F51D28" w:rsidRDefault="00F51D28" w:rsidP="002103AF">
      <w:pPr>
        <w:widowControl w:val="0"/>
        <w:ind w:firstLine="720"/>
        <w:jc w:val="both"/>
        <w:rPr>
          <w:rFonts w:ascii="Times New Roman" w:hAnsi="Times New Roman" w:cs="Times New Roman"/>
          <w:b/>
          <w:u w:val="single"/>
        </w:rPr>
      </w:pPr>
    </w:p>
    <w:p w14:paraId="2F155549" w14:textId="753375CC" w:rsidR="00D67DE9" w:rsidRDefault="00C653E0" w:rsidP="002103AF">
      <w:pPr>
        <w:widowControl w:val="0"/>
        <w:ind w:firstLine="720"/>
        <w:jc w:val="both"/>
        <w:rPr>
          <w:rFonts w:ascii="Times New Roman" w:hAnsi="Times New Roman" w:cs="Times New Roman"/>
        </w:rPr>
      </w:pPr>
      <w:r w:rsidRPr="00617A78">
        <w:rPr>
          <w:rFonts w:ascii="Times New Roman" w:hAnsi="Times New Roman" w:cs="Times New Roman"/>
        </w:rPr>
        <w:t xml:space="preserve">Since the Supreme Court’s decision in </w:t>
      </w:r>
      <w:r w:rsidR="00E4767E" w:rsidRPr="00617A78">
        <w:rPr>
          <w:rFonts w:ascii="Times New Roman" w:hAnsi="Times New Roman" w:cs="Times New Roman"/>
          <w:i/>
        </w:rPr>
        <w:t>Hall Street Assocs. L.L.C. v. Mattel, Inc.</w:t>
      </w:r>
      <w:r w:rsidR="00D86932" w:rsidRPr="00617A78">
        <w:rPr>
          <w:rStyle w:val="FootnoteReference"/>
          <w:rFonts w:ascii="Times New Roman" w:hAnsi="Times New Roman" w:cs="Times New Roman"/>
        </w:rPr>
        <w:footnoteReference w:id="1"/>
      </w:r>
      <w:r w:rsidR="00E4767E" w:rsidRPr="00617A78">
        <w:rPr>
          <w:rFonts w:ascii="Times New Roman" w:hAnsi="Times New Roman" w:cs="Times New Roman"/>
        </w:rPr>
        <w:t xml:space="preserve"> courts, commentators, and practitioners</w:t>
      </w:r>
      <w:r w:rsidR="001E48D8" w:rsidRPr="00617A78">
        <w:rPr>
          <w:rFonts w:ascii="Times New Roman" w:hAnsi="Times New Roman" w:cs="Times New Roman"/>
        </w:rPr>
        <w:t xml:space="preserve"> have questioned</w:t>
      </w:r>
      <w:r w:rsidRPr="00617A78">
        <w:rPr>
          <w:rFonts w:ascii="Times New Roman" w:hAnsi="Times New Roman" w:cs="Times New Roman"/>
        </w:rPr>
        <w:t xml:space="preserve"> the continuing viability, and even the existence, of the doctrine of manifest disregard</w:t>
      </w:r>
      <w:r w:rsidR="001E48D8" w:rsidRPr="00617A78">
        <w:rPr>
          <w:rFonts w:ascii="Times New Roman" w:hAnsi="Times New Roman" w:cs="Times New Roman"/>
        </w:rPr>
        <w:t xml:space="preserve"> of the law</w:t>
      </w:r>
      <w:r w:rsidR="009162E7" w:rsidRPr="00617A78">
        <w:rPr>
          <w:rFonts w:ascii="Times New Roman" w:hAnsi="Times New Roman" w:cs="Times New Roman"/>
        </w:rPr>
        <w:t xml:space="preserve"> (“manifest disregard,” “doctrine,” or “standard”)</w:t>
      </w:r>
      <w:r w:rsidRPr="00617A78">
        <w:rPr>
          <w:rFonts w:ascii="Times New Roman" w:hAnsi="Times New Roman" w:cs="Times New Roman"/>
        </w:rPr>
        <w:t xml:space="preserve">. Some argue </w:t>
      </w:r>
      <w:r w:rsidR="001E48D8" w:rsidRPr="00617A78">
        <w:rPr>
          <w:rFonts w:ascii="Times New Roman" w:hAnsi="Times New Roman" w:cs="Times New Roman"/>
        </w:rPr>
        <w:t xml:space="preserve">that </w:t>
      </w:r>
      <w:r w:rsidR="001E48D8" w:rsidRPr="00617A78">
        <w:rPr>
          <w:rFonts w:ascii="Times New Roman" w:hAnsi="Times New Roman" w:cs="Times New Roman"/>
          <w:i/>
        </w:rPr>
        <w:t xml:space="preserve">Hall Street </w:t>
      </w:r>
      <w:r w:rsidR="001E48D8" w:rsidRPr="00617A78">
        <w:rPr>
          <w:rFonts w:ascii="Times New Roman" w:hAnsi="Times New Roman" w:cs="Times New Roman"/>
        </w:rPr>
        <w:t>effectively abrogated manifest disregard.</w:t>
      </w:r>
      <w:r w:rsidR="001E48D8" w:rsidRPr="00617A78">
        <w:rPr>
          <w:rStyle w:val="FootnoteReference"/>
          <w:rFonts w:ascii="Times New Roman" w:hAnsi="Times New Roman" w:cs="Times New Roman"/>
        </w:rPr>
        <w:footnoteReference w:id="2"/>
      </w:r>
      <w:r w:rsidR="001E48D8" w:rsidRPr="00617A78">
        <w:rPr>
          <w:rFonts w:ascii="Times New Roman" w:hAnsi="Times New Roman" w:cs="Times New Roman"/>
        </w:rPr>
        <w:t xml:space="preserve"> Others claim that the doctrine survived </w:t>
      </w:r>
      <w:r w:rsidR="001E48D8" w:rsidRPr="00617A78">
        <w:rPr>
          <w:rFonts w:ascii="Times New Roman" w:hAnsi="Times New Roman" w:cs="Times New Roman"/>
          <w:i/>
        </w:rPr>
        <w:t>Hall Street</w:t>
      </w:r>
      <w:r w:rsidR="001E48D8" w:rsidRPr="00617A78">
        <w:rPr>
          <w:rFonts w:ascii="Times New Roman" w:hAnsi="Times New Roman" w:cs="Times New Roman"/>
        </w:rPr>
        <w:t xml:space="preserve"> as either a judicial gloss or </w:t>
      </w:r>
      <w:r w:rsidR="008A65D0" w:rsidRPr="00617A78">
        <w:rPr>
          <w:rFonts w:ascii="Times New Roman" w:hAnsi="Times New Roman" w:cs="Times New Roman"/>
        </w:rPr>
        <w:t xml:space="preserve">a </w:t>
      </w:r>
      <w:r w:rsidR="001E48D8" w:rsidRPr="00617A78">
        <w:rPr>
          <w:rFonts w:ascii="Times New Roman" w:hAnsi="Times New Roman" w:cs="Times New Roman"/>
        </w:rPr>
        <w:t xml:space="preserve">shorthand for the grounds enumerated </w:t>
      </w:r>
      <w:r w:rsidR="008A65D0" w:rsidRPr="00617A78">
        <w:rPr>
          <w:rFonts w:ascii="Times New Roman" w:hAnsi="Times New Roman" w:cs="Times New Roman"/>
        </w:rPr>
        <w:t>in Section 10 of the Federal Arbitration Act</w:t>
      </w:r>
      <w:r w:rsidR="001E48D8" w:rsidRPr="00617A78">
        <w:rPr>
          <w:rFonts w:ascii="Times New Roman" w:hAnsi="Times New Roman" w:cs="Times New Roman"/>
        </w:rPr>
        <w:t>.</w:t>
      </w:r>
      <w:r w:rsidR="001E48D8" w:rsidRPr="00617A78">
        <w:rPr>
          <w:rStyle w:val="FootnoteReference"/>
          <w:rFonts w:ascii="Times New Roman" w:hAnsi="Times New Roman" w:cs="Times New Roman"/>
        </w:rPr>
        <w:footnoteReference w:id="3"/>
      </w:r>
      <w:r w:rsidR="001E48D8" w:rsidRPr="00617A78">
        <w:rPr>
          <w:rFonts w:ascii="Times New Roman" w:hAnsi="Times New Roman" w:cs="Times New Roman"/>
        </w:rPr>
        <w:t xml:space="preserve"> Still others, though a minority, assert that </w:t>
      </w:r>
      <w:r w:rsidR="001E48D8" w:rsidRPr="00617A78">
        <w:rPr>
          <w:rFonts w:ascii="Times New Roman" w:hAnsi="Times New Roman" w:cs="Times New Roman"/>
          <w:i/>
        </w:rPr>
        <w:t xml:space="preserve">Hall Street </w:t>
      </w:r>
      <w:r w:rsidR="001E48D8" w:rsidRPr="00617A78">
        <w:rPr>
          <w:rFonts w:ascii="Times New Roman" w:hAnsi="Times New Roman" w:cs="Times New Roman"/>
        </w:rPr>
        <w:t>did not eliminate the traditional, pre-</w:t>
      </w:r>
      <w:r w:rsidR="001E48D8" w:rsidRPr="00617A78">
        <w:rPr>
          <w:rFonts w:ascii="Times New Roman" w:hAnsi="Times New Roman" w:cs="Times New Roman"/>
          <w:i/>
        </w:rPr>
        <w:t>Hall Street</w:t>
      </w:r>
      <w:r w:rsidR="001E48D8" w:rsidRPr="00617A78">
        <w:rPr>
          <w:rFonts w:ascii="Times New Roman" w:hAnsi="Times New Roman" w:cs="Times New Roman"/>
        </w:rPr>
        <w:t xml:space="preserve"> understanding of manifest disregard as a common-law, non-statutory, ground for vacating arbitral awards.</w:t>
      </w:r>
      <w:r w:rsidR="001E48D8" w:rsidRPr="00617A78">
        <w:rPr>
          <w:rStyle w:val="FootnoteReference"/>
          <w:rFonts w:ascii="Times New Roman" w:hAnsi="Times New Roman" w:cs="Times New Roman"/>
        </w:rPr>
        <w:footnoteReference w:id="4"/>
      </w:r>
      <w:r w:rsidR="001E48D8" w:rsidRPr="00617A78">
        <w:rPr>
          <w:rFonts w:ascii="Times New Roman" w:hAnsi="Times New Roman" w:cs="Times New Roman"/>
        </w:rPr>
        <w:t xml:space="preserve"> </w:t>
      </w:r>
      <w:r w:rsidR="00757E32" w:rsidRPr="00617A78">
        <w:rPr>
          <w:rFonts w:ascii="Times New Roman" w:hAnsi="Times New Roman" w:cs="Times New Roman"/>
        </w:rPr>
        <w:t xml:space="preserve"> </w:t>
      </w:r>
      <w:r w:rsidR="00C32624" w:rsidRPr="00617A78">
        <w:rPr>
          <w:rFonts w:ascii="Times New Roman" w:hAnsi="Times New Roman" w:cs="Times New Roman"/>
        </w:rPr>
        <w:t>In ligh</w:t>
      </w:r>
      <w:bookmarkStart w:id="0" w:name="_GoBack"/>
      <w:bookmarkEnd w:id="0"/>
      <w:r w:rsidR="00C32624" w:rsidRPr="00617A78">
        <w:rPr>
          <w:rFonts w:ascii="Times New Roman" w:hAnsi="Times New Roman" w:cs="Times New Roman"/>
        </w:rPr>
        <w:t>t of the</w:t>
      </w:r>
      <w:r w:rsidR="00757E32" w:rsidRPr="00617A78">
        <w:rPr>
          <w:rFonts w:ascii="Times New Roman" w:hAnsi="Times New Roman" w:cs="Times New Roman"/>
        </w:rPr>
        <w:t>se</w:t>
      </w:r>
      <w:r w:rsidR="00C32624" w:rsidRPr="00617A78">
        <w:rPr>
          <w:rFonts w:ascii="Times New Roman" w:hAnsi="Times New Roman" w:cs="Times New Roman"/>
        </w:rPr>
        <w:t xml:space="preserve"> differing and diverging interpretation</w:t>
      </w:r>
      <w:r w:rsidR="00757E32" w:rsidRPr="00617A78">
        <w:rPr>
          <w:rFonts w:ascii="Times New Roman" w:hAnsi="Times New Roman" w:cs="Times New Roman"/>
        </w:rPr>
        <w:t>s</w:t>
      </w:r>
      <w:r w:rsidR="00C32624" w:rsidRPr="00617A78">
        <w:rPr>
          <w:rFonts w:ascii="Times New Roman" w:hAnsi="Times New Roman" w:cs="Times New Roman"/>
        </w:rPr>
        <w:t xml:space="preserve">, it seems appropriate for the </w:t>
      </w:r>
      <w:r w:rsidR="00757E32" w:rsidRPr="00617A78">
        <w:rPr>
          <w:rFonts w:ascii="Times New Roman" w:hAnsi="Times New Roman" w:cs="Times New Roman"/>
        </w:rPr>
        <w:t xml:space="preserve">United States </w:t>
      </w:r>
      <w:r w:rsidR="00C32624" w:rsidRPr="00617A78">
        <w:rPr>
          <w:rFonts w:ascii="Times New Roman" w:hAnsi="Times New Roman" w:cs="Times New Roman"/>
        </w:rPr>
        <w:t xml:space="preserve">Supreme Court to step in </w:t>
      </w:r>
      <w:r w:rsidR="0062377D" w:rsidRPr="00617A78">
        <w:rPr>
          <w:rFonts w:ascii="Times New Roman" w:hAnsi="Times New Roman" w:cs="Times New Roman"/>
        </w:rPr>
        <w:t>and</w:t>
      </w:r>
      <w:r w:rsidR="00C32624" w:rsidRPr="00617A78">
        <w:rPr>
          <w:rFonts w:ascii="Times New Roman" w:hAnsi="Times New Roman" w:cs="Times New Roman"/>
        </w:rPr>
        <w:t xml:space="preserve"> </w:t>
      </w:r>
      <w:r w:rsidR="00757E32" w:rsidRPr="00617A78">
        <w:rPr>
          <w:rFonts w:ascii="Times New Roman" w:hAnsi="Times New Roman" w:cs="Times New Roman"/>
        </w:rPr>
        <w:t>resolve</w:t>
      </w:r>
      <w:r w:rsidR="00C32624" w:rsidRPr="00617A78">
        <w:rPr>
          <w:rFonts w:ascii="Times New Roman" w:hAnsi="Times New Roman" w:cs="Times New Roman"/>
        </w:rPr>
        <w:t xml:space="preserve"> the </w:t>
      </w:r>
      <w:r w:rsidR="00757E32" w:rsidRPr="00617A78">
        <w:rPr>
          <w:rFonts w:ascii="Times New Roman" w:hAnsi="Times New Roman" w:cs="Times New Roman"/>
        </w:rPr>
        <w:t>controversy</w:t>
      </w:r>
      <w:r w:rsidR="00C32624" w:rsidRPr="00617A78">
        <w:rPr>
          <w:rFonts w:ascii="Times New Roman" w:hAnsi="Times New Roman" w:cs="Times New Roman"/>
        </w:rPr>
        <w:t xml:space="preserve">; however, the Court has yet to explicitly hold what the correct interpretation is, though </w:t>
      </w:r>
      <w:r w:rsidR="00757E32" w:rsidRPr="00617A78">
        <w:rPr>
          <w:rFonts w:ascii="Times New Roman" w:hAnsi="Times New Roman" w:cs="Times New Roman"/>
        </w:rPr>
        <w:t>the</w:t>
      </w:r>
      <w:r w:rsidR="00C32624" w:rsidRPr="00617A78">
        <w:rPr>
          <w:rFonts w:ascii="Times New Roman" w:hAnsi="Times New Roman" w:cs="Times New Roman"/>
        </w:rPr>
        <w:t xml:space="preserve"> </w:t>
      </w:r>
      <w:r w:rsidR="00757E32" w:rsidRPr="00617A78">
        <w:rPr>
          <w:rFonts w:ascii="Times New Roman" w:hAnsi="Times New Roman" w:cs="Times New Roman"/>
        </w:rPr>
        <w:t xml:space="preserve">opportunity </w:t>
      </w:r>
      <w:r w:rsidR="00C32624" w:rsidRPr="00617A78">
        <w:rPr>
          <w:rFonts w:ascii="Times New Roman" w:hAnsi="Times New Roman" w:cs="Times New Roman"/>
        </w:rPr>
        <w:t xml:space="preserve">to do </w:t>
      </w:r>
      <w:r w:rsidR="00757E32" w:rsidRPr="00617A78">
        <w:rPr>
          <w:rFonts w:ascii="Times New Roman" w:hAnsi="Times New Roman" w:cs="Times New Roman"/>
        </w:rPr>
        <w:t>so</w:t>
      </w:r>
      <w:r w:rsidR="00C32624" w:rsidRPr="00617A78">
        <w:rPr>
          <w:rFonts w:ascii="Times New Roman" w:hAnsi="Times New Roman" w:cs="Times New Roman"/>
        </w:rPr>
        <w:t xml:space="preserve"> </w:t>
      </w:r>
      <w:r w:rsidR="007152D1" w:rsidRPr="00617A78">
        <w:rPr>
          <w:rFonts w:ascii="Times New Roman" w:hAnsi="Times New Roman" w:cs="Times New Roman"/>
        </w:rPr>
        <w:t>has been</w:t>
      </w:r>
      <w:r w:rsidR="00757E32" w:rsidRPr="00617A78">
        <w:rPr>
          <w:rFonts w:ascii="Times New Roman" w:hAnsi="Times New Roman" w:cs="Times New Roman"/>
        </w:rPr>
        <w:t xml:space="preserve"> presented</w:t>
      </w:r>
      <w:r w:rsidR="00C32624" w:rsidRPr="00617A78">
        <w:rPr>
          <w:rFonts w:ascii="Times New Roman" w:hAnsi="Times New Roman" w:cs="Times New Roman"/>
        </w:rPr>
        <w:t>.</w:t>
      </w:r>
      <w:r w:rsidR="006A40F4" w:rsidRPr="00617A78">
        <w:rPr>
          <w:rStyle w:val="FootnoteReference"/>
          <w:rFonts w:ascii="Times New Roman" w:hAnsi="Times New Roman" w:cs="Times New Roman"/>
        </w:rPr>
        <w:footnoteReference w:id="5"/>
      </w:r>
      <w:r w:rsidR="00C32624" w:rsidRPr="00617A78">
        <w:rPr>
          <w:rFonts w:ascii="Times New Roman" w:hAnsi="Times New Roman" w:cs="Times New Roman"/>
        </w:rPr>
        <w:t xml:space="preserve"> </w:t>
      </w:r>
      <w:r w:rsidR="007152D1" w:rsidRPr="00617A78">
        <w:rPr>
          <w:rFonts w:ascii="Times New Roman" w:hAnsi="Times New Roman" w:cs="Times New Roman"/>
        </w:rPr>
        <w:t xml:space="preserve">The lack of direction regarding the </w:t>
      </w:r>
      <w:r w:rsidR="0094137E" w:rsidRPr="00617A78">
        <w:rPr>
          <w:rFonts w:ascii="Times New Roman" w:hAnsi="Times New Roman" w:cs="Times New Roman"/>
        </w:rPr>
        <w:t xml:space="preserve">viability of manifest disregard, coupled with confusion surrounding the doctrine’s </w:t>
      </w:r>
      <w:r w:rsidR="007152D1" w:rsidRPr="00617A78">
        <w:rPr>
          <w:rFonts w:ascii="Times New Roman" w:hAnsi="Times New Roman" w:cs="Times New Roman"/>
        </w:rPr>
        <w:t>“correct” interpretation and application</w:t>
      </w:r>
      <w:r w:rsidR="0094137E" w:rsidRPr="00617A78">
        <w:rPr>
          <w:rFonts w:ascii="Times New Roman" w:hAnsi="Times New Roman" w:cs="Times New Roman"/>
        </w:rPr>
        <w:t xml:space="preserve"> (if still viable), has caused many to question the fate </w:t>
      </w:r>
      <w:r w:rsidR="007152D1" w:rsidRPr="00617A78">
        <w:rPr>
          <w:rFonts w:ascii="Times New Roman" w:hAnsi="Times New Roman" w:cs="Times New Roman"/>
        </w:rPr>
        <w:t>of manifest disregard</w:t>
      </w:r>
      <w:r w:rsidR="0094137E" w:rsidRPr="00617A78">
        <w:rPr>
          <w:rFonts w:ascii="Times New Roman" w:hAnsi="Times New Roman" w:cs="Times New Roman"/>
        </w:rPr>
        <w:t xml:space="preserve"> as a ground for vacating arbitral awards.</w:t>
      </w:r>
    </w:p>
    <w:p w14:paraId="523B139C" w14:textId="77777777" w:rsidR="004E77D6" w:rsidRPr="00617A78" w:rsidRDefault="004E77D6" w:rsidP="004E77D6">
      <w:pPr>
        <w:widowControl w:val="0"/>
        <w:ind w:firstLine="360"/>
        <w:jc w:val="both"/>
        <w:rPr>
          <w:rFonts w:ascii="Times New Roman" w:hAnsi="Times New Roman" w:cs="Times New Roman"/>
        </w:rPr>
      </w:pPr>
    </w:p>
    <w:p w14:paraId="5177776A" w14:textId="36EB0B2B" w:rsidR="007C587F" w:rsidRDefault="003A7462" w:rsidP="002103AF">
      <w:pPr>
        <w:widowControl w:val="0"/>
        <w:ind w:firstLine="720"/>
        <w:jc w:val="both"/>
        <w:rPr>
          <w:rFonts w:ascii="Times New Roman" w:hAnsi="Times New Roman" w:cs="Times New Roman"/>
        </w:rPr>
      </w:pPr>
      <w:r w:rsidRPr="00617A78">
        <w:rPr>
          <w:rFonts w:ascii="Times New Roman" w:hAnsi="Times New Roman" w:cs="Times New Roman"/>
        </w:rPr>
        <w:lastRenderedPageBreak/>
        <w:t xml:space="preserve">This </w:t>
      </w:r>
      <w:r w:rsidR="003964A5" w:rsidRPr="00617A78">
        <w:rPr>
          <w:rFonts w:ascii="Times New Roman" w:hAnsi="Times New Roman" w:cs="Times New Roman"/>
        </w:rPr>
        <w:t xml:space="preserve">paper examines this puzzling </w:t>
      </w:r>
      <w:r w:rsidR="00810539" w:rsidRPr="00617A78">
        <w:rPr>
          <w:rFonts w:ascii="Times New Roman" w:hAnsi="Times New Roman" w:cs="Times New Roman"/>
        </w:rPr>
        <w:t xml:space="preserve">predicament, and attempts to provide guidance regarding the future of </w:t>
      </w:r>
      <w:r w:rsidR="009162E7" w:rsidRPr="00617A78">
        <w:rPr>
          <w:rFonts w:ascii="Times New Roman" w:hAnsi="Times New Roman" w:cs="Times New Roman"/>
        </w:rPr>
        <w:t xml:space="preserve">the </w:t>
      </w:r>
      <w:r w:rsidR="00810539" w:rsidRPr="00617A78">
        <w:rPr>
          <w:rFonts w:ascii="Times New Roman" w:hAnsi="Times New Roman" w:cs="Times New Roman"/>
        </w:rPr>
        <w:t>manifest disregard</w:t>
      </w:r>
      <w:r w:rsidR="009162E7" w:rsidRPr="00617A78">
        <w:rPr>
          <w:rFonts w:ascii="Times New Roman" w:hAnsi="Times New Roman" w:cs="Times New Roman"/>
        </w:rPr>
        <w:t xml:space="preserve"> standard</w:t>
      </w:r>
      <w:r w:rsidR="00810539" w:rsidRPr="00617A78">
        <w:rPr>
          <w:rFonts w:ascii="Times New Roman" w:hAnsi="Times New Roman" w:cs="Times New Roman"/>
        </w:rPr>
        <w:t xml:space="preserve">. Part II </w:t>
      </w:r>
      <w:r w:rsidR="00BC3CBB" w:rsidRPr="00617A78">
        <w:rPr>
          <w:rFonts w:ascii="Times New Roman" w:hAnsi="Times New Roman" w:cs="Times New Roman"/>
        </w:rPr>
        <w:t>briefly</w:t>
      </w:r>
      <w:r w:rsidR="00D86932" w:rsidRPr="00617A78">
        <w:rPr>
          <w:rFonts w:ascii="Times New Roman" w:hAnsi="Times New Roman" w:cs="Times New Roman"/>
        </w:rPr>
        <w:t xml:space="preserve"> reviews the generally understood meaning of “manifest disregard </w:t>
      </w:r>
      <w:r w:rsidR="008A65D0" w:rsidRPr="00617A78">
        <w:rPr>
          <w:rFonts w:ascii="Times New Roman" w:hAnsi="Times New Roman" w:cs="Times New Roman"/>
        </w:rPr>
        <w:t>of</w:t>
      </w:r>
      <w:r w:rsidR="00D86932" w:rsidRPr="00617A78">
        <w:rPr>
          <w:rFonts w:ascii="Times New Roman" w:hAnsi="Times New Roman" w:cs="Times New Roman"/>
        </w:rPr>
        <w:t xml:space="preserve"> the law.” Part III</w:t>
      </w:r>
      <w:r w:rsidR="00810539" w:rsidRPr="00617A78">
        <w:rPr>
          <w:rFonts w:ascii="Times New Roman" w:hAnsi="Times New Roman" w:cs="Times New Roman"/>
        </w:rPr>
        <w:t xml:space="preserve"> </w:t>
      </w:r>
      <w:r w:rsidR="00D86932" w:rsidRPr="00617A78">
        <w:rPr>
          <w:rFonts w:ascii="Times New Roman" w:hAnsi="Times New Roman" w:cs="Times New Roman"/>
        </w:rPr>
        <w:t xml:space="preserve">investigates the </w:t>
      </w:r>
      <w:r w:rsidR="00BC3CBB" w:rsidRPr="00617A78">
        <w:rPr>
          <w:rFonts w:ascii="Times New Roman" w:hAnsi="Times New Roman" w:cs="Times New Roman"/>
        </w:rPr>
        <w:t>origins</w:t>
      </w:r>
      <w:r w:rsidR="00D86932" w:rsidRPr="00617A78">
        <w:rPr>
          <w:rFonts w:ascii="Times New Roman" w:hAnsi="Times New Roman" w:cs="Times New Roman"/>
        </w:rPr>
        <w:t xml:space="preserve"> and </w:t>
      </w:r>
      <w:r w:rsidR="00BC3CBB" w:rsidRPr="00617A78">
        <w:rPr>
          <w:rFonts w:ascii="Times New Roman" w:hAnsi="Times New Roman" w:cs="Times New Roman"/>
        </w:rPr>
        <w:t>development</w:t>
      </w:r>
      <w:r w:rsidR="00D67DE9" w:rsidRPr="00617A78">
        <w:rPr>
          <w:rFonts w:ascii="Times New Roman" w:hAnsi="Times New Roman" w:cs="Times New Roman"/>
        </w:rPr>
        <w:t xml:space="preserve"> of the doctrine</w:t>
      </w:r>
      <w:r w:rsidR="00830CE8" w:rsidRPr="00617A78">
        <w:rPr>
          <w:rFonts w:ascii="Times New Roman" w:hAnsi="Times New Roman" w:cs="Times New Roman"/>
        </w:rPr>
        <w:t xml:space="preserve"> by examining (a) </w:t>
      </w:r>
      <w:r w:rsidR="00D67DE9" w:rsidRPr="00617A78">
        <w:rPr>
          <w:rFonts w:ascii="Times New Roman" w:hAnsi="Times New Roman" w:cs="Times New Roman"/>
        </w:rPr>
        <w:t>the Supreme</w:t>
      </w:r>
      <w:r w:rsidR="00830CE8" w:rsidRPr="00617A78">
        <w:rPr>
          <w:rFonts w:ascii="Times New Roman" w:hAnsi="Times New Roman" w:cs="Times New Roman"/>
        </w:rPr>
        <w:t xml:space="preserve"> Court’s decision</w:t>
      </w:r>
      <w:r w:rsidR="00D67DE9" w:rsidRPr="00617A78">
        <w:rPr>
          <w:rFonts w:ascii="Times New Roman" w:hAnsi="Times New Roman" w:cs="Times New Roman"/>
        </w:rPr>
        <w:t xml:space="preserve"> in </w:t>
      </w:r>
      <w:proofErr w:type="spellStart"/>
      <w:r w:rsidR="00D67DE9" w:rsidRPr="00617A78">
        <w:rPr>
          <w:rFonts w:ascii="Times New Roman" w:hAnsi="Times New Roman" w:cs="Times New Roman"/>
          <w:i/>
        </w:rPr>
        <w:t>Wilko</w:t>
      </w:r>
      <w:proofErr w:type="spellEnd"/>
      <w:r w:rsidR="00D67DE9" w:rsidRPr="00617A78">
        <w:rPr>
          <w:rFonts w:ascii="Times New Roman" w:hAnsi="Times New Roman" w:cs="Times New Roman"/>
          <w:i/>
        </w:rPr>
        <w:t xml:space="preserve"> v. Swan</w:t>
      </w:r>
      <w:r w:rsidR="00830CE8" w:rsidRPr="00617A78">
        <w:rPr>
          <w:rFonts w:ascii="Times New Roman" w:hAnsi="Times New Roman" w:cs="Times New Roman"/>
        </w:rPr>
        <w:t>, (b) approaches to apply</w:t>
      </w:r>
      <w:r w:rsidR="00481518" w:rsidRPr="00617A78">
        <w:rPr>
          <w:rFonts w:ascii="Times New Roman" w:hAnsi="Times New Roman" w:cs="Times New Roman"/>
        </w:rPr>
        <w:t>ing</w:t>
      </w:r>
      <w:r w:rsidR="00830CE8" w:rsidRPr="00617A78">
        <w:rPr>
          <w:rFonts w:ascii="Times New Roman" w:hAnsi="Times New Roman" w:cs="Times New Roman"/>
        </w:rPr>
        <w:t xml:space="preserve"> manifest disregard following </w:t>
      </w:r>
      <w:proofErr w:type="spellStart"/>
      <w:r w:rsidR="00830CE8" w:rsidRPr="00617A78">
        <w:rPr>
          <w:rFonts w:ascii="Times New Roman" w:hAnsi="Times New Roman" w:cs="Times New Roman"/>
          <w:i/>
        </w:rPr>
        <w:t>Wilko</w:t>
      </w:r>
      <w:proofErr w:type="spellEnd"/>
      <w:r w:rsidR="00830CE8" w:rsidRPr="00617A78">
        <w:rPr>
          <w:rFonts w:ascii="Times New Roman" w:hAnsi="Times New Roman" w:cs="Times New Roman"/>
        </w:rPr>
        <w:t>, and (c)</w:t>
      </w:r>
      <w:r w:rsidR="00481518" w:rsidRPr="00617A78">
        <w:rPr>
          <w:rFonts w:ascii="Times New Roman" w:hAnsi="Times New Roman" w:cs="Times New Roman"/>
        </w:rPr>
        <w:t xml:space="preserve"> the</w:t>
      </w:r>
      <w:r w:rsidR="00830CE8" w:rsidRPr="00617A78">
        <w:rPr>
          <w:rFonts w:ascii="Times New Roman" w:hAnsi="Times New Roman" w:cs="Times New Roman"/>
        </w:rPr>
        <w:t xml:space="preserve"> Court’s 2008 decision in </w:t>
      </w:r>
      <w:r w:rsidR="00830CE8" w:rsidRPr="00617A78">
        <w:rPr>
          <w:rFonts w:ascii="Times New Roman" w:hAnsi="Times New Roman" w:cs="Times New Roman"/>
          <w:i/>
        </w:rPr>
        <w:t>Hall Street</w:t>
      </w:r>
      <w:r w:rsidR="00830CE8" w:rsidRPr="00617A78">
        <w:rPr>
          <w:rFonts w:ascii="Times New Roman" w:hAnsi="Times New Roman" w:cs="Times New Roman"/>
        </w:rPr>
        <w:t>.</w:t>
      </w:r>
      <w:r w:rsidR="00D86932" w:rsidRPr="00617A78">
        <w:rPr>
          <w:rFonts w:ascii="Times New Roman" w:hAnsi="Times New Roman" w:cs="Times New Roman"/>
        </w:rPr>
        <w:t xml:space="preserve"> </w:t>
      </w:r>
      <w:r w:rsidR="00481518" w:rsidRPr="00617A78">
        <w:rPr>
          <w:rFonts w:ascii="Times New Roman" w:hAnsi="Times New Roman" w:cs="Times New Roman"/>
        </w:rPr>
        <w:t xml:space="preserve">Part IV examines how the Second, Fourth, Fifth, Sixth, Eighth, Ninth, Tenth, and Eleventh Circuits interpreted </w:t>
      </w:r>
      <w:r w:rsidR="00481518" w:rsidRPr="00617A78">
        <w:rPr>
          <w:rFonts w:ascii="Times New Roman" w:hAnsi="Times New Roman" w:cs="Times New Roman"/>
          <w:i/>
        </w:rPr>
        <w:t>Hall Street</w:t>
      </w:r>
      <w:r w:rsidR="00481518" w:rsidRPr="00617A78">
        <w:rPr>
          <w:rFonts w:ascii="Times New Roman" w:hAnsi="Times New Roman" w:cs="Times New Roman"/>
        </w:rPr>
        <w:t>, and how these interpretation</w:t>
      </w:r>
      <w:r w:rsidR="00B61427" w:rsidRPr="00617A78">
        <w:rPr>
          <w:rFonts w:ascii="Times New Roman" w:hAnsi="Times New Roman" w:cs="Times New Roman"/>
        </w:rPr>
        <w:t>s</w:t>
      </w:r>
      <w:r w:rsidR="00481518" w:rsidRPr="00617A78">
        <w:rPr>
          <w:rFonts w:ascii="Times New Roman" w:hAnsi="Times New Roman" w:cs="Times New Roman"/>
        </w:rPr>
        <w:t xml:space="preserve"> have influenced each circuits’ position regarding </w:t>
      </w:r>
      <w:r w:rsidR="000F5BF6" w:rsidRPr="00617A78">
        <w:rPr>
          <w:rFonts w:ascii="Times New Roman" w:hAnsi="Times New Roman" w:cs="Times New Roman"/>
        </w:rPr>
        <w:t xml:space="preserve">how the manifest disregard standard should be understood. Part V examines the future of manifest disregard, and takes the position that the doctrine remains viable, if not as common-law, as a </w:t>
      </w:r>
      <w:r w:rsidR="00E537A5" w:rsidRPr="00617A78">
        <w:rPr>
          <w:rFonts w:ascii="Times New Roman" w:hAnsi="Times New Roman" w:cs="Times New Roman"/>
        </w:rPr>
        <w:t xml:space="preserve">shorthand/judicial gloss </w:t>
      </w:r>
      <w:r w:rsidR="000F5BF6" w:rsidRPr="00617A78">
        <w:rPr>
          <w:rFonts w:ascii="Times New Roman" w:hAnsi="Times New Roman" w:cs="Times New Roman"/>
        </w:rPr>
        <w:t xml:space="preserve">for the grounds set forth in FAA § 10. Part VI suggests that the most effective way to resolve the circuit split would be for the Supreme Court to issue an opinion explicitly setting forth the “correct” interpretation and application of </w:t>
      </w:r>
      <w:r w:rsidR="000F5BF6" w:rsidRPr="00617A78">
        <w:rPr>
          <w:rFonts w:ascii="Times New Roman" w:hAnsi="Times New Roman" w:cs="Times New Roman"/>
          <w:i/>
        </w:rPr>
        <w:t>Hall Street</w:t>
      </w:r>
      <w:r w:rsidR="00BE1E4E" w:rsidRPr="00617A78">
        <w:rPr>
          <w:rFonts w:ascii="Times New Roman" w:hAnsi="Times New Roman" w:cs="Times New Roman"/>
          <w:i/>
        </w:rPr>
        <w:t xml:space="preserve"> </w:t>
      </w:r>
      <w:r w:rsidR="00BE1E4E" w:rsidRPr="00617A78">
        <w:rPr>
          <w:rFonts w:ascii="Times New Roman" w:hAnsi="Times New Roman" w:cs="Times New Roman"/>
        </w:rPr>
        <w:t>and the doctrine of manifest disregard</w:t>
      </w:r>
      <w:r w:rsidR="000F5BF6" w:rsidRPr="00617A78">
        <w:rPr>
          <w:rFonts w:ascii="Times New Roman" w:hAnsi="Times New Roman" w:cs="Times New Roman"/>
        </w:rPr>
        <w:t xml:space="preserve">. Part VII contains concluding remarks and recapitulates this papers findings. </w:t>
      </w:r>
    </w:p>
    <w:p w14:paraId="3F6C354B" w14:textId="77777777" w:rsidR="004E77D6" w:rsidRPr="00617A78" w:rsidRDefault="004E77D6" w:rsidP="004E77D6">
      <w:pPr>
        <w:widowControl w:val="0"/>
        <w:ind w:firstLine="360"/>
        <w:jc w:val="both"/>
        <w:rPr>
          <w:rFonts w:ascii="Times New Roman" w:hAnsi="Times New Roman" w:cs="Times New Roman"/>
        </w:rPr>
      </w:pPr>
    </w:p>
    <w:p w14:paraId="6F2CFCBD" w14:textId="7EA1F1E6" w:rsidR="007C587F" w:rsidRDefault="007C587F" w:rsidP="004E77D6">
      <w:pPr>
        <w:pStyle w:val="ListParagraph"/>
        <w:widowControl w:val="0"/>
        <w:numPr>
          <w:ilvl w:val="0"/>
          <w:numId w:val="1"/>
        </w:numPr>
        <w:rPr>
          <w:rFonts w:ascii="Times New Roman" w:hAnsi="Times New Roman" w:cs="Times New Roman"/>
          <w:b/>
          <w:u w:val="single"/>
        </w:rPr>
      </w:pPr>
      <w:r w:rsidRPr="00617A78">
        <w:rPr>
          <w:rFonts w:ascii="Times New Roman" w:hAnsi="Times New Roman" w:cs="Times New Roman"/>
          <w:b/>
          <w:u w:val="single"/>
        </w:rPr>
        <w:t xml:space="preserve">What is “Manifest Disregard </w:t>
      </w:r>
      <w:r w:rsidR="008A65D0" w:rsidRPr="00617A78">
        <w:rPr>
          <w:rFonts w:ascii="Times New Roman" w:hAnsi="Times New Roman" w:cs="Times New Roman"/>
          <w:b/>
          <w:u w:val="single"/>
        </w:rPr>
        <w:t>of</w:t>
      </w:r>
      <w:r w:rsidRPr="00617A78">
        <w:rPr>
          <w:rFonts w:ascii="Times New Roman" w:hAnsi="Times New Roman" w:cs="Times New Roman"/>
          <w:b/>
          <w:u w:val="single"/>
        </w:rPr>
        <w:t xml:space="preserve"> The Law”?</w:t>
      </w:r>
    </w:p>
    <w:p w14:paraId="35454E1F" w14:textId="77777777" w:rsidR="004E77D6" w:rsidRPr="00617A78" w:rsidRDefault="004E77D6" w:rsidP="004E77D6">
      <w:pPr>
        <w:pStyle w:val="ListParagraph"/>
        <w:widowControl w:val="0"/>
        <w:rPr>
          <w:rFonts w:ascii="Times New Roman" w:hAnsi="Times New Roman" w:cs="Times New Roman"/>
          <w:b/>
          <w:u w:val="single"/>
        </w:rPr>
      </w:pPr>
    </w:p>
    <w:p w14:paraId="1B22E6AE" w14:textId="3767D582" w:rsidR="007C587F" w:rsidRDefault="007C587F" w:rsidP="002103AF">
      <w:pPr>
        <w:widowControl w:val="0"/>
        <w:ind w:firstLine="720"/>
        <w:jc w:val="both"/>
        <w:rPr>
          <w:rFonts w:ascii="Times New Roman" w:hAnsi="Times New Roman" w:cs="Times New Roman"/>
        </w:rPr>
      </w:pPr>
      <w:r w:rsidRPr="00617A78">
        <w:rPr>
          <w:rFonts w:ascii="Times New Roman" w:hAnsi="Times New Roman" w:cs="Times New Roman"/>
        </w:rPr>
        <w:t>Section 10 of the Federal Arbitration Act</w:t>
      </w:r>
      <w:r w:rsidRPr="00617A78">
        <w:rPr>
          <w:rStyle w:val="FootnoteReference"/>
          <w:rFonts w:ascii="Times New Roman" w:hAnsi="Times New Roman" w:cs="Times New Roman"/>
        </w:rPr>
        <w:footnoteReference w:id="6"/>
      </w:r>
      <w:r w:rsidRPr="00617A78">
        <w:rPr>
          <w:rFonts w:ascii="Times New Roman" w:hAnsi="Times New Roman" w:cs="Times New Roman"/>
        </w:rPr>
        <w:t xml:space="preserve"> (“FAA”) provides the statutory </w:t>
      </w:r>
      <w:r w:rsidR="008072C1">
        <w:rPr>
          <w:rFonts w:ascii="Times New Roman" w:hAnsi="Times New Roman" w:cs="Times New Roman"/>
        </w:rPr>
        <w:t>bases</w:t>
      </w:r>
      <w:r w:rsidRPr="00617A78">
        <w:rPr>
          <w:rFonts w:ascii="Times New Roman" w:hAnsi="Times New Roman" w:cs="Times New Roman"/>
        </w:rPr>
        <w:t xml:space="preserve"> for vacating an arbitral award, including “where the award was procured by ‘corruption,’ ‘fraud,’ or ‘undue means,’ and where the arbitrators were ‘guilty of misconduct,’ or ‘exceeded their powers.’”</w:t>
      </w:r>
      <w:r w:rsidRPr="00617A78">
        <w:rPr>
          <w:rStyle w:val="FootnoteReference"/>
          <w:rFonts w:ascii="Times New Roman" w:hAnsi="Times New Roman" w:cs="Times New Roman"/>
        </w:rPr>
        <w:footnoteReference w:id="7"/>
      </w:r>
      <w:r w:rsidRPr="00617A78">
        <w:rPr>
          <w:rFonts w:ascii="Times New Roman" w:hAnsi="Times New Roman" w:cs="Times New Roman"/>
        </w:rPr>
        <w:t xml:space="preserve"> In addition to the statutory ground</w:t>
      </w:r>
      <w:r w:rsidR="00466836" w:rsidRPr="00617A78">
        <w:rPr>
          <w:rFonts w:ascii="Times New Roman" w:hAnsi="Times New Roman" w:cs="Times New Roman"/>
        </w:rPr>
        <w:t xml:space="preserve">s </w:t>
      </w:r>
      <w:r w:rsidRPr="00617A78">
        <w:rPr>
          <w:rFonts w:ascii="Times New Roman" w:hAnsi="Times New Roman" w:cs="Times New Roman"/>
        </w:rPr>
        <w:t xml:space="preserve">contained in </w:t>
      </w:r>
      <w:r w:rsidR="008A65D0" w:rsidRPr="00617A78">
        <w:rPr>
          <w:rFonts w:ascii="Times New Roman" w:hAnsi="Times New Roman" w:cs="Times New Roman"/>
        </w:rPr>
        <w:t>FAA § 10</w:t>
      </w:r>
      <w:r w:rsidRPr="00617A78">
        <w:rPr>
          <w:rFonts w:ascii="Times New Roman" w:hAnsi="Times New Roman" w:cs="Times New Roman"/>
        </w:rPr>
        <w:t>, there are also various non-statutory, judicial</w:t>
      </w:r>
      <w:r w:rsidR="00466836" w:rsidRPr="00617A78">
        <w:rPr>
          <w:rFonts w:ascii="Times New Roman" w:hAnsi="Times New Roman" w:cs="Times New Roman"/>
        </w:rPr>
        <w:t>ly created, gr</w:t>
      </w:r>
      <w:r w:rsidR="00A721B4" w:rsidRPr="00617A78">
        <w:rPr>
          <w:rFonts w:ascii="Times New Roman" w:hAnsi="Times New Roman" w:cs="Times New Roman"/>
        </w:rPr>
        <w:t xml:space="preserve">ounds for </w:t>
      </w:r>
      <w:proofErr w:type="spellStart"/>
      <w:r w:rsidR="00A721B4" w:rsidRPr="00617A78">
        <w:rPr>
          <w:rFonts w:ascii="Times New Roman" w:hAnsi="Times New Roman" w:cs="Times New Roman"/>
        </w:rPr>
        <w:t>vacatur</w:t>
      </w:r>
      <w:proofErr w:type="spellEnd"/>
      <w:r w:rsidRPr="00617A78">
        <w:rPr>
          <w:rFonts w:ascii="Times New Roman" w:hAnsi="Times New Roman" w:cs="Times New Roman"/>
        </w:rPr>
        <w:t>.</w:t>
      </w:r>
      <w:bookmarkStart w:id="1" w:name="_Ref355704712"/>
      <w:r w:rsidRPr="00617A78">
        <w:rPr>
          <w:rStyle w:val="FootnoteReference"/>
          <w:rFonts w:ascii="Times New Roman" w:hAnsi="Times New Roman" w:cs="Times New Roman"/>
        </w:rPr>
        <w:footnoteReference w:id="8"/>
      </w:r>
      <w:bookmarkEnd w:id="1"/>
      <w:r w:rsidRPr="00617A78">
        <w:rPr>
          <w:rFonts w:ascii="Times New Roman" w:hAnsi="Times New Roman" w:cs="Times New Roman"/>
        </w:rPr>
        <w:t xml:space="preserve">  Manifest disregard </w:t>
      </w:r>
      <w:r w:rsidR="00D15D4D" w:rsidRPr="00617A78">
        <w:rPr>
          <w:rFonts w:ascii="Times New Roman" w:hAnsi="Times New Roman" w:cs="Times New Roman"/>
        </w:rPr>
        <w:t>of</w:t>
      </w:r>
      <w:r w:rsidRPr="00617A78">
        <w:rPr>
          <w:rFonts w:ascii="Times New Roman" w:hAnsi="Times New Roman" w:cs="Times New Roman"/>
        </w:rPr>
        <w:t xml:space="preserve"> the law is generally understood to be one of these judicially created grounds for vacating an award,</w:t>
      </w:r>
      <w:bookmarkStart w:id="2" w:name="_Ref355704940"/>
      <w:r w:rsidRPr="00617A78">
        <w:rPr>
          <w:rStyle w:val="FootnoteReference"/>
          <w:rFonts w:ascii="Times New Roman" w:hAnsi="Times New Roman" w:cs="Times New Roman"/>
        </w:rPr>
        <w:footnoteReference w:id="9"/>
      </w:r>
      <w:bookmarkEnd w:id="2"/>
      <w:r w:rsidRPr="00617A78">
        <w:rPr>
          <w:rFonts w:ascii="Times New Roman" w:hAnsi="Times New Roman" w:cs="Times New Roman"/>
        </w:rPr>
        <w:t xml:space="preserve"> though it “has not consistently or </w:t>
      </w:r>
      <w:r w:rsidRPr="00617A78">
        <w:rPr>
          <w:rFonts w:ascii="Times New Roman" w:hAnsi="Times New Roman" w:cs="Times New Roman"/>
        </w:rPr>
        <w:lastRenderedPageBreak/>
        <w:t>exclusively been viewed as a common-law expansion of the FAA” (discussed in greater detail below).</w:t>
      </w:r>
      <w:bookmarkStart w:id="3" w:name="_Ref355705266"/>
      <w:r w:rsidRPr="00617A78">
        <w:rPr>
          <w:rStyle w:val="FootnoteReference"/>
          <w:rFonts w:ascii="Times New Roman" w:hAnsi="Times New Roman" w:cs="Times New Roman"/>
        </w:rPr>
        <w:footnoteReference w:id="10"/>
      </w:r>
      <w:bookmarkEnd w:id="3"/>
      <w:r w:rsidRPr="00617A78">
        <w:rPr>
          <w:rFonts w:ascii="Times New Roman" w:hAnsi="Times New Roman" w:cs="Times New Roman"/>
        </w:rPr>
        <w:t xml:space="preserve">  Although debate exists regarding the </w:t>
      </w:r>
      <w:r w:rsidR="00A721B4" w:rsidRPr="00617A78">
        <w:rPr>
          <w:rFonts w:ascii="Times New Roman" w:hAnsi="Times New Roman" w:cs="Times New Roman"/>
        </w:rPr>
        <w:t>origins</w:t>
      </w:r>
      <w:r w:rsidRPr="00617A78">
        <w:rPr>
          <w:rFonts w:ascii="Times New Roman" w:hAnsi="Times New Roman" w:cs="Times New Roman"/>
        </w:rPr>
        <w:t xml:space="preserve"> of </w:t>
      </w:r>
      <w:r w:rsidR="004B20C5" w:rsidRPr="00617A78">
        <w:rPr>
          <w:rFonts w:ascii="Times New Roman" w:hAnsi="Times New Roman" w:cs="Times New Roman"/>
        </w:rPr>
        <w:t xml:space="preserve">the </w:t>
      </w:r>
      <w:r w:rsidR="00A721B4" w:rsidRPr="00617A78">
        <w:rPr>
          <w:rFonts w:ascii="Times New Roman" w:hAnsi="Times New Roman" w:cs="Times New Roman"/>
        </w:rPr>
        <w:t xml:space="preserve">manifest disregard </w:t>
      </w:r>
      <w:r w:rsidR="004B20C5" w:rsidRPr="00617A78">
        <w:rPr>
          <w:rFonts w:ascii="Times New Roman" w:hAnsi="Times New Roman" w:cs="Times New Roman"/>
        </w:rPr>
        <w:t>standard</w:t>
      </w:r>
      <w:r w:rsidR="00A721B4" w:rsidRPr="00617A78">
        <w:rPr>
          <w:rFonts w:ascii="Times New Roman" w:hAnsi="Times New Roman" w:cs="Times New Roman"/>
        </w:rPr>
        <w:t xml:space="preserve"> </w:t>
      </w:r>
      <w:r w:rsidRPr="00617A78">
        <w:rPr>
          <w:rFonts w:ascii="Times New Roman" w:hAnsi="Times New Roman" w:cs="Times New Roman"/>
        </w:rPr>
        <w:t>and its status as a common-law means for</w:t>
      </w:r>
      <w:r w:rsidR="00A721B4" w:rsidRPr="00617A78">
        <w:rPr>
          <w:rFonts w:ascii="Times New Roman" w:hAnsi="Times New Roman" w:cs="Times New Roman"/>
        </w:rPr>
        <w:t xml:space="preserve"> vacating an </w:t>
      </w:r>
      <w:r w:rsidR="004B20C5" w:rsidRPr="00617A78">
        <w:rPr>
          <w:rFonts w:ascii="Times New Roman" w:hAnsi="Times New Roman" w:cs="Times New Roman"/>
        </w:rPr>
        <w:t xml:space="preserve">arbitral </w:t>
      </w:r>
      <w:r w:rsidR="00A721B4" w:rsidRPr="00617A78">
        <w:rPr>
          <w:rFonts w:ascii="Times New Roman" w:hAnsi="Times New Roman" w:cs="Times New Roman"/>
        </w:rPr>
        <w:t>award</w:t>
      </w:r>
      <w:r w:rsidRPr="00617A78">
        <w:rPr>
          <w:rFonts w:ascii="Times New Roman" w:hAnsi="Times New Roman" w:cs="Times New Roman"/>
        </w:rPr>
        <w:t>, according to Stephen Huber, the standard approach to manifest disregard requires “a showing that the arbitrator knowingly failed to apply clearly applicable law.”</w:t>
      </w:r>
      <w:bookmarkStart w:id="4" w:name="_Ref355704865"/>
      <w:r w:rsidRPr="00617A78">
        <w:rPr>
          <w:rStyle w:val="FootnoteReference"/>
          <w:rFonts w:ascii="Times New Roman" w:hAnsi="Times New Roman" w:cs="Times New Roman"/>
        </w:rPr>
        <w:footnoteReference w:id="11"/>
      </w:r>
      <w:bookmarkEnd w:id="4"/>
      <w:r w:rsidRPr="00617A78">
        <w:rPr>
          <w:rFonts w:ascii="Times New Roman" w:hAnsi="Times New Roman" w:cs="Times New Roman"/>
        </w:rPr>
        <w:t xml:space="preserve"> An arbitrators mere ignorance of the law is not enough;</w:t>
      </w:r>
      <w:r w:rsidRPr="00617A78">
        <w:rPr>
          <w:rStyle w:val="FootnoteReference"/>
          <w:rFonts w:ascii="Times New Roman" w:hAnsi="Times New Roman" w:cs="Times New Roman"/>
        </w:rPr>
        <w:footnoteReference w:id="12"/>
      </w:r>
      <w:r w:rsidR="00A721B4" w:rsidRPr="00617A78">
        <w:rPr>
          <w:rFonts w:ascii="Times New Roman" w:hAnsi="Times New Roman" w:cs="Times New Roman"/>
        </w:rPr>
        <w:t xml:space="preserve"> </w:t>
      </w:r>
      <w:r w:rsidRPr="00617A78">
        <w:rPr>
          <w:rFonts w:ascii="Times New Roman" w:hAnsi="Times New Roman" w:cs="Times New Roman"/>
        </w:rPr>
        <w:t>rather, the moving party must affirmatively show “that the arbitrator: [1] knew about the existence of relevant law; [2] knew that the law was controlling; and [3] intentionally refused to apply the law.”</w:t>
      </w:r>
      <w:r w:rsidRPr="00617A78">
        <w:rPr>
          <w:rStyle w:val="FootnoteReference"/>
          <w:rFonts w:ascii="Times New Roman" w:hAnsi="Times New Roman" w:cs="Times New Roman"/>
        </w:rPr>
        <w:footnoteReference w:id="13"/>
      </w:r>
      <w:r w:rsidRPr="00617A78">
        <w:rPr>
          <w:rFonts w:ascii="Times New Roman" w:hAnsi="Times New Roman" w:cs="Times New Roman"/>
        </w:rPr>
        <w:t xml:space="preserve"> </w:t>
      </w:r>
    </w:p>
    <w:p w14:paraId="7B882C2F" w14:textId="77777777" w:rsidR="004E77D6" w:rsidRPr="00617A78" w:rsidRDefault="004E77D6" w:rsidP="004E77D6">
      <w:pPr>
        <w:widowControl w:val="0"/>
        <w:ind w:firstLine="360"/>
        <w:jc w:val="both"/>
        <w:rPr>
          <w:rFonts w:ascii="Times New Roman" w:hAnsi="Times New Roman" w:cs="Times New Roman"/>
        </w:rPr>
      </w:pPr>
    </w:p>
    <w:p w14:paraId="6A7BC011" w14:textId="3214100B" w:rsidR="007C587F" w:rsidRPr="00617A78" w:rsidRDefault="007C587F" w:rsidP="004E77D6">
      <w:pPr>
        <w:pStyle w:val="ListParagraph"/>
        <w:widowControl w:val="0"/>
        <w:numPr>
          <w:ilvl w:val="0"/>
          <w:numId w:val="1"/>
        </w:numPr>
        <w:rPr>
          <w:rFonts w:ascii="Times New Roman" w:hAnsi="Times New Roman" w:cs="Times New Roman"/>
          <w:b/>
          <w:u w:val="single"/>
        </w:rPr>
      </w:pPr>
      <w:r w:rsidRPr="00617A78">
        <w:rPr>
          <w:rFonts w:ascii="Times New Roman" w:hAnsi="Times New Roman" w:cs="Times New Roman"/>
          <w:b/>
          <w:u w:val="single"/>
        </w:rPr>
        <w:t>Origins &amp; Development of “Manifest Disregard”</w:t>
      </w:r>
      <w:r w:rsidR="004E77D6">
        <w:rPr>
          <w:rFonts w:ascii="Times New Roman" w:hAnsi="Times New Roman" w:cs="Times New Roman"/>
          <w:b/>
          <w:u w:val="single"/>
        </w:rPr>
        <w:br/>
      </w:r>
    </w:p>
    <w:p w14:paraId="288439CC" w14:textId="7885E459" w:rsidR="007C587F" w:rsidRPr="00617A78" w:rsidRDefault="007C587F" w:rsidP="002103AF">
      <w:pPr>
        <w:widowControl w:val="0"/>
        <w:ind w:firstLine="720"/>
        <w:jc w:val="both"/>
        <w:rPr>
          <w:rFonts w:ascii="Times New Roman" w:hAnsi="Times New Roman" w:cs="Times New Roman"/>
        </w:rPr>
      </w:pPr>
      <w:r w:rsidRPr="00617A78">
        <w:rPr>
          <w:rFonts w:ascii="Times New Roman" w:hAnsi="Times New Roman" w:cs="Times New Roman"/>
        </w:rPr>
        <w:t xml:space="preserve">The exact origin of “manifest disregard </w:t>
      </w:r>
      <w:r w:rsidR="00AD3492">
        <w:rPr>
          <w:rFonts w:ascii="Times New Roman" w:hAnsi="Times New Roman" w:cs="Times New Roman"/>
        </w:rPr>
        <w:t>of</w:t>
      </w:r>
      <w:r w:rsidRPr="00617A78">
        <w:rPr>
          <w:rFonts w:ascii="Times New Roman" w:hAnsi="Times New Roman" w:cs="Times New Roman"/>
        </w:rPr>
        <w:t xml:space="preserve"> the law” is a topic of debate, with no clearly discernable answer. This section examines the origins and development of the doctrine of manifest disregard, star</w:t>
      </w:r>
      <w:r w:rsidR="00B61427" w:rsidRPr="00617A78">
        <w:rPr>
          <w:rFonts w:ascii="Times New Roman" w:hAnsi="Times New Roman" w:cs="Times New Roman"/>
        </w:rPr>
        <w:t>t</w:t>
      </w:r>
      <w:r w:rsidRPr="00617A78">
        <w:rPr>
          <w:rFonts w:ascii="Times New Roman" w:hAnsi="Times New Roman" w:cs="Times New Roman"/>
        </w:rPr>
        <w:t>ing with the generally accepted view that the doctrine originated from dicta in the United State</w:t>
      </w:r>
      <w:r w:rsidR="004B20C5" w:rsidRPr="00617A78">
        <w:rPr>
          <w:rFonts w:ascii="Times New Roman" w:hAnsi="Times New Roman" w:cs="Times New Roman"/>
        </w:rPr>
        <w:t>s</w:t>
      </w:r>
      <w:r w:rsidRPr="00617A78">
        <w:rPr>
          <w:rFonts w:ascii="Times New Roman" w:hAnsi="Times New Roman" w:cs="Times New Roman"/>
        </w:rPr>
        <w:t xml:space="preserve"> Supreme Court’s decision in </w:t>
      </w:r>
      <w:proofErr w:type="spellStart"/>
      <w:r w:rsidRPr="00617A78">
        <w:rPr>
          <w:rFonts w:ascii="Times New Roman" w:hAnsi="Times New Roman" w:cs="Times New Roman"/>
          <w:i/>
        </w:rPr>
        <w:t>Wilko</w:t>
      </w:r>
      <w:proofErr w:type="spellEnd"/>
      <w:r w:rsidRPr="00617A78">
        <w:rPr>
          <w:rFonts w:ascii="Times New Roman" w:hAnsi="Times New Roman" w:cs="Times New Roman"/>
          <w:i/>
        </w:rPr>
        <w:t xml:space="preserve"> v. Swan</w:t>
      </w:r>
      <w:r w:rsidRPr="00617A78">
        <w:rPr>
          <w:rFonts w:ascii="Times New Roman" w:hAnsi="Times New Roman" w:cs="Times New Roman"/>
        </w:rPr>
        <w:t xml:space="preserve">. After discussing </w:t>
      </w:r>
      <w:proofErr w:type="spellStart"/>
      <w:r w:rsidRPr="00617A78">
        <w:rPr>
          <w:rFonts w:ascii="Times New Roman" w:hAnsi="Times New Roman" w:cs="Times New Roman"/>
          <w:i/>
        </w:rPr>
        <w:t>Wilko</w:t>
      </w:r>
      <w:proofErr w:type="spellEnd"/>
      <w:r w:rsidR="00D67DE9" w:rsidRPr="00617A78">
        <w:rPr>
          <w:rFonts w:ascii="Times New Roman" w:hAnsi="Times New Roman" w:cs="Times New Roman"/>
        </w:rPr>
        <w:t xml:space="preserve">, this </w:t>
      </w:r>
      <w:r w:rsidR="008A7999" w:rsidRPr="00617A78">
        <w:rPr>
          <w:rFonts w:ascii="Times New Roman" w:hAnsi="Times New Roman" w:cs="Times New Roman"/>
        </w:rPr>
        <w:t xml:space="preserve">paper examines various approaches to applying the doctrine of manifest disregard following </w:t>
      </w:r>
      <w:proofErr w:type="spellStart"/>
      <w:r w:rsidR="008A7999" w:rsidRPr="00617A78">
        <w:rPr>
          <w:rFonts w:ascii="Times New Roman" w:hAnsi="Times New Roman" w:cs="Times New Roman"/>
          <w:i/>
        </w:rPr>
        <w:t>Wilko</w:t>
      </w:r>
      <w:proofErr w:type="spellEnd"/>
      <w:r w:rsidR="008A7999" w:rsidRPr="00617A78">
        <w:rPr>
          <w:rFonts w:ascii="Times New Roman" w:hAnsi="Times New Roman" w:cs="Times New Roman"/>
          <w:i/>
        </w:rPr>
        <w:t xml:space="preserve"> </w:t>
      </w:r>
      <w:r w:rsidR="008A7999" w:rsidRPr="00617A78">
        <w:rPr>
          <w:rFonts w:ascii="Times New Roman" w:hAnsi="Times New Roman" w:cs="Times New Roman"/>
        </w:rPr>
        <w:t xml:space="preserve">(but before </w:t>
      </w:r>
      <w:r w:rsidR="008A7999" w:rsidRPr="00617A78">
        <w:rPr>
          <w:rFonts w:ascii="Times New Roman" w:hAnsi="Times New Roman" w:cs="Times New Roman"/>
          <w:i/>
        </w:rPr>
        <w:t>Hall Street</w:t>
      </w:r>
      <w:r w:rsidR="008A7999" w:rsidRPr="00617A78">
        <w:rPr>
          <w:rFonts w:ascii="Times New Roman" w:hAnsi="Times New Roman" w:cs="Times New Roman"/>
        </w:rPr>
        <w:t>). With these approach</w:t>
      </w:r>
      <w:r w:rsidR="003C2C6F" w:rsidRPr="00617A78">
        <w:rPr>
          <w:rFonts w:ascii="Times New Roman" w:hAnsi="Times New Roman" w:cs="Times New Roman"/>
        </w:rPr>
        <w:t>es</w:t>
      </w:r>
      <w:r w:rsidR="008A7999" w:rsidRPr="00617A78">
        <w:rPr>
          <w:rFonts w:ascii="Times New Roman" w:hAnsi="Times New Roman" w:cs="Times New Roman"/>
        </w:rPr>
        <w:t xml:space="preserve"> in mind, this paper then discusses the Supreme Court’s decision in </w:t>
      </w:r>
      <w:r w:rsidR="008A7999" w:rsidRPr="00617A78">
        <w:rPr>
          <w:rFonts w:ascii="Times New Roman" w:hAnsi="Times New Roman" w:cs="Times New Roman"/>
          <w:i/>
        </w:rPr>
        <w:t>Hall Street</w:t>
      </w:r>
      <w:r w:rsidR="008A7999" w:rsidRPr="00617A78">
        <w:rPr>
          <w:rFonts w:ascii="Times New Roman" w:hAnsi="Times New Roman" w:cs="Times New Roman"/>
        </w:rPr>
        <w:t xml:space="preserve">, and the implications that decision has had on the continuing viability of the </w:t>
      </w:r>
      <w:r w:rsidR="004B20C5" w:rsidRPr="00617A78">
        <w:rPr>
          <w:rFonts w:ascii="Times New Roman" w:hAnsi="Times New Roman" w:cs="Times New Roman"/>
        </w:rPr>
        <w:t>doctrine</w:t>
      </w:r>
      <w:r w:rsidR="008A7999" w:rsidRPr="00617A78">
        <w:rPr>
          <w:rFonts w:ascii="Times New Roman" w:hAnsi="Times New Roman" w:cs="Times New Roman"/>
        </w:rPr>
        <w:t xml:space="preserve"> of manifest disregard.</w:t>
      </w:r>
      <w:r w:rsidR="004E77D6">
        <w:rPr>
          <w:rFonts w:ascii="Times New Roman" w:hAnsi="Times New Roman" w:cs="Times New Roman"/>
        </w:rPr>
        <w:br/>
      </w:r>
    </w:p>
    <w:p w14:paraId="5E117FE6" w14:textId="40660A93" w:rsidR="007C587F" w:rsidRPr="00617A78" w:rsidRDefault="007C587F" w:rsidP="004E77D6">
      <w:pPr>
        <w:pStyle w:val="ListParagraph"/>
        <w:widowControl w:val="0"/>
        <w:numPr>
          <w:ilvl w:val="1"/>
          <w:numId w:val="1"/>
        </w:numPr>
        <w:rPr>
          <w:rFonts w:ascii="Times New Roman" w:hAnsi="Times New Roman" w:cs="Times New Roman"/>
          <w:u w:val="single"/>
        </w:rPr>
      </w:pPr>
      <w:proofErr w:type="spellStart"/>
      <w:r w:rsidRPr="00617A78">
        <w:rPr>
          <w:rFonts w:ascii="Times New Roman" w:hAnsi="Times New Roman" w:cs="Times New Roman"/>
          <w:i/>
          <w:u w:val="single"/>
        </w:rPr>
        <w:t>Wilko</w:t>
      </w:r>
      <w:proofErr w:type="spellEnd"/>
      <w:r w:rsidRPr="00617A78">
        <w:rPr>
          <w:rFonts w:ascii="Times New Roman" w:hAnsi="Times New Roman" w:cs="Times New Roman"/>
          <w:i/>
          <w:u w:val="single"/>
        </w:rPr>
        <w:t xml:space="preserve"> v. Swan</w:t>
      </w:r>
      <w:r w:rsidR="00BC3CBB" w:rsidRPr="00617A78">
        <w:rPr>
          <w:rFonts w:ascii="Times New Roman" w:hAnsi="Times New Roman" w:cs="Times New Roman"/>
          <w:u w:val="single"/>
        </w:rPr>
        <w:t>: The Debate Begins</w:t>
      </w:r>
    </w:p>
    <w:p w14:paraId="6064779D" w14:textId="77777777" w:rsidR="007C587F" w:rsidRPr="00617A78" w:rsidRDefault="007C587F" w:rsidP="004E77D6">
      <w:pPr>
        <w:widowControl w:val="0"/>
        <w:rPr>
          <w:rFonts w:ascii="Times New Roman" w:hAnsi="Times New Roman" w:cs="Times New Roman"/>
        </w:rPr>
      </w:pPr>
    </w:p>
    <w:p w14:paraId="3E6DEEFF" w14:textId="77777777" w:rsidR="00F310C2" w:rsidRDefault="007C587F" w:rsidP="00F310C2">
      <w:pPr>
        <w:widowControl w:val="0"/>
        <w:ind w:firstLine="720"/>
        <w:jc w:val="both"/>
        <w:rPr>
          <w:rFonts w:ascii="Times New Roman" w:hAnsi="Times New Roman" w:cs="Times New Roman"/>
        </w:rPr>
      </w:pPr>
      <w:r w:rsidRPr="00617A78">
        <w:rPr>
          <w:rFonts w:ascii="Times New Roman" w:hAnsi="Times New Roman" w:cs="Times New Roman"/>
        </w:rPr>
        <w:t xml:space="preserve">The origin of the doctrine of manifest disregard is a contested issue; however, most </w:t>
      </w:r>
      <w:r w:rsidR="004B20C5" w:rsidRPr="00617A78">
        <w:rPr>
          <w:rFonts w:ascii="Times New Roman" w:hAnsi="Times New Roman" w:cs="Times New Roman"/>
        </w:rPr>
        <w:t>commentators</w:t>
      </w:r>
      <w:r w:rsidRPr="00617A78">
        <w:rPr>
          <w:rFonts w:ascii="Times New Roman" w:hAnsi="Times New Roman" w:cs="Times New Roman"/>
        </w:rPr>
        <w:t xml:space="preserve"> agree that the manifest disregard standard </w:t>
      </w:r>
      <w:r w:rsidR="00BC3CBB" w:rsidRPr="00617A78">
        <w:rPr>
          <w:rFonts w:ascii="Times New Roman" w:hAnsi="Times New Roman" w:cs="Times New Roman"/>
        </w:rPr>
        <w:t>originated</w:t>
      </w:r>
      <w:r w:rsidRPr="00617A78">
        <w:rPr>
          <w:rFonts w:ascii="Times New Roman" w:hAnsi="Times New Roman" w:cs="Times New Roman"/>
        </w:rPr>
        <w:t xml:space="preserve"> from dicta in the United States Supreme Court’s 1953 decision in </w:t>
      </w:r>
      <w:proofErr w:type="spellStart"/>
      <w:r w:rsidRPr="00617A78">
        <w:rPr>
          <w:rFonts w:ascii="Times New Roman" w:hAnsi="Times New Roman" w:cs="Times New Roman"/>
          <w:i/>
        </w:rPr>
        <w:t>Wilko</w:t>
      </w:r>
      <w:proofErr w:type="spellEnd"/>
      <w:r w:rsidRPr="00617A78">
        <w:rPr>
          <w:rFonts w:ascii="Times New Roman" w:hAnsi="Times New Roman" w:cs="Times New Roman"/>
          <w:i/>
        </w:rPr>
        <w:t xml:space="preserve"> v. Swan</w:t>
      </w:r>
      <w:r w:rsidRPr="00617A78">
        <w:rPr>
          <w:rFonts w:ascii="Times New Roman" w:hAnsi="Times New Roman" w:cs="Times New Roman"/>
        </w:rPr>
        <w:t>,</w:t>
      </w:r>
      <w:bookmarkStart w:id="5" w:name="_Ref355705725"/>
      <w:r w:rsidRPr="00617A78">
        <w:rPr>
          <w:rStyle w:val="FootnoteReference"/>
          <w:rFonts w:ascii="Times New Roman" w:hAnsi="Times New Roman" w:cs="Times New Roman"/>
        </w:rPr>
        <w:footnoteReference w:id="14"/>
      </w:r>
      <w:bookmarkEnd w:id="5"/>
      <w:r w:rsidRPr="00617A78">
        <w:rPr>
          <w:rFonts w:ascii="Times New Roman" w:hAnsi="Times New Roman" w:cs="Times New Roman"/>
        </w:rPr>
        <w:t xml:space="preserve"> where the Court stated that “the interpretation </w:t>
      </w:r>
      <w:r w:rsidRPr="00617A78">
        <w:rPr>
          <w:rFonts w:ascii="Times New Roman" w:hAnsi="Times New Roman" w:cs="Times New Roman"/>
        </w:rPr>
        <w:lastRenderedPageBreak/>
        <w:t>of the law by … arbitrators in contrast to manifest disregard are not subject, in the federal courts, to judicial review for error in interpretation.”</w:t>
      </w:r>
      <w:r w:rsidRPr="00617A78">
        <w:rPr>
          <w:rStyle w:val="FootnoteReference"/>
          <w:rFonts w:ascii="Times New Roman" w:hAnsi="Times New Roman" w:cs="Times New Roman"/>
        </w:rPr>
        <w:footnoteReference w:id="15"/>
      </w:r>
      <w:r w:rsidRPr="00617A78">
        <w:rPr>
          <w:rFonts w:ascii="Times New Roman" w:hAnsi="Times New Roman" w:cs="Times New Roman"/>
        </w:rPr>
        <w:t xml:space="preserve"> Although </w:t>
      </w:r>
      <w:proofErr w:type="spellStart"/>
      <w:r w:rsidRPr="00617A78">
        <w:rPr>
          <w:rFonts w:ascii="Times New Roman" w:hAnsi="Times New Roman" w:cs="Times New Roman"/>
          <w:i/>
        </w:rPr>
        <w:t>Wilko</w:t>
      </w:r>
      <w:proofErr w:type="spellEnd"/>
      <w:r w:rsidRPr="00617A78">
        <w:rPr>
          <w:rFonts w:ascii="Times New Roman" w:hAnsi="Times New Roman" w:cs="Times New Roman"/>
          <w:i/>
        </w:rPr>
        <w:t xml:space="preserve"> </w:t>
      </w:r>
      <w:r w:rsidRPr="00617A78">
        <w:rPr>
          <w:rFonts w:ascii="Times New Roman" w:hAnsi="Times New Roman" w:cs="Times New Roman"/>
        </w:rPr>
        <w:t>was subsequently overruled on other grounds, this statement has been understood</w:t>
      </w:r>
      <w:r w:rsidR="008A7999" w:rsidRPr="00617A78">
        <w:rPr>
          <w:rFonts w:ascii="Times New Roman" w:hAnsi="Times New Roman" w:cs="Times New Roman"/>
        </w:rPr>
        <w:t xml:space="preserve"> to indicate, as </w:t>
      </w:r>
      <w:r w:rsidR="004B20C5" w:rsidRPr="00617A78">
        <w:rPr>
          <w:rFonts w:ascii="Times New Roman" w:hAnsi="Times New Roman" w:cs="Times New Roman"/>
        </w:rPr>
        <w:t>Ashley</w:t>
      </w:r>
      <w:r w:rsidR="008A7999" w:rsidRPr="00617A78">
        <w:rPr>
          <w:rFonts w:ascii="Times New Roman" w:hAnsi="Times New Roman" w:cs="Times New Roman"/>
        </w:rPr>
        <w:t xml:space="preserve"> </w:t>
      </w:r>
      <w:proofErr w:type="spellStart"/>
      <w:r w:rsidR="008A7999" w:rsidRPr="00617A78">
        <w:rPr>
          <w:rFonts w:ascii="Times New Roman" w:hAnsi="Times New Roman" w:cs="Times New Roman"/>
        </w:rPr>
        <w:t>Sundquist</w:t>
      </w:r>
      <w:proofErr w:type="spellEnd"/>
      <w:r w:rsidR="008A7999" w:rsidRPr="00617A78">
        <w:rPr>
          <w:rFonts w:ascii="Times New Roman" w:hAnsi="Times New Roman" w:cs="Times New Roman"/>
        </w:rPr>
        <w:t xml:space="preserve"> and </w:t>
      </w:r>
      <w:r w:rsidR="004B20C5" w:rsidRPr="00617A78">
        <w:rPr>
          <w:rFonts w:ascii="Times New Roman" w:hAnsi="Times New Roman" w:cs="Times New Roman"/>
        </w:rPr>
        <w:t>Michael</w:t>
      </w:r>
      <w:r w:rsidR="008A7999" w:rsidRPr="00617A78">
        <w:rPr>
          <w:rFonts w:ascii="Times New Roman" w:hAnsi="Times New Roman" w:cs="Times New Roman"/>
        </w:rPr>
        <w:t xml:space="preserve"> </w:t>
      </w:r>
      <w:proofErr w:type="spellStart"/>
      <w:r w:rsidR="008A7999" w:rsidRPr="00617A78">
        <w:rPr>
          <w:rFonts w:ascii="Times New Roman" w:hAnsi="Times New Roman" w:cs="Times New Roman"/>
        </w:rPr>
        <w:t>LeRoy</w:t>
      </w:r>
      <w:proofErr w:type="spellEnd"/>
      <w:r w:rsidR="00DA20ED">
        <w:rPr>
          <w:rFonts w:ascii="Times New Roman" w:hAnsi="Times New Roman" w:cs="Times New Roman"/>
        </w:rPr>
        <w:t xml:space="preserve"> suggest</w:t>
      </w:r>
      <w:r w:rsidRPr="00617A78">
        <w:rPr>
          <w:rFonts w:ascii="Times New Roman" w:hAnsi="Times New Roman" w:cs="Times New Roman"/>
        </w:rPr>
        <w:t xml:space="preserve">, that manifest disregard </w:t>
      </w:r>
      <w:r w:rsidR="004B20C5" w:rsidRPr="00617A78">
        <w:rPr>
          <w:rFonts w:ascii="Times New Roman" w:hAnsi="Times New Roman" w:cs="Times New Roman"/>
        </w:rPr>
        <w:t>of</w:t>
      </w:r>
      <w:r w:rsidRPr="00617A78">
        <w:rPr>
          <w:rFonts w:ascii="Times New Roman" w:hAnsi="Times New Roman" w:cs="Times New Roman"/>
        </w:rPr>
        <w:t xml:space="preserve"> the law may be a permissible ground for vacating an arbitral award, but arbitrators mistaken interpretation of the law, or a judge’s disagreement regarding how the law was interpreted, does not provide “a justifiable reason for </w:t>
      </w:r>
      <w:proofErr w:type="spellStart"/>
      <w:r w:rsidRPr="00617A78">
        <w:rPr>
          <w:rFonts w:ascii="Times New Roman" w:hAnsi="Times New Roman" w:cs="Times New Roman"/>
        </w:rPr>
        <w:t>vacature</w:t>
      </w:r>
      <w:proofErr w:type="spellEnd"/>
      <w:r w:rsidRPr="00617A78">
        <w:rPr>
          <w:rFonts w:ascii="Times New Roman" w:hAnsi="Times New Roman" w:cs="Times New Roman"/>
        </w:rPr>
        <w:t>.”</w:t>
      </w:r>
      <w:r w:rsidRPr="00617A78">
        <w:rPr>
          <w:rStyle w:val="FootnoteReference"/>
          <w:rFonts w:ascii="Times New Roman" w:hAnsi="Times New Roman" w:cs="Times New Roman"/>
        </w:rPr>
        <w:t xml:space="preserve"> </w:t>
      </w:r>
      <w:r w:rsidRPr="00617A78">
        <w:rPr>
          <w:rStyle w:val="FootnoteReference"/>
          <w:rFonts w:ascii="Times New Roman" w:hAnsi="Times New Roman" w:cs="Times New Roman"/>
        </w:rPr>
        <w:footnoteReference w:id="16"/>
      </w:r>
      <w:r w:rsidRPr="00617A78">
        <w:rPr>
          <w:rFonts w:ascii="Times New Roman" w:hAnsi="Times New Roman" w:cs="Times New Roman"/>
        </w:rPr>
        <w:t xml:space="preserve"> However, the extent of the </w:t>
      </w:r>
      <w:proofErr w:type="spellStart"/>
      <w:r w:rsidRPr="00617A78">
        <w:rPr>
          <w:rFonts w:ascii="Times New Roman" w:hAnsi="Times New Roman" w:cs="Times New Roman"/>
          <w:i/>
        </w:rPr>
        <w:t>Wilko</w:t>
      </w:r>
      <w:proofErr w:type="spellEnd"/>
      <w:r w:rsidRPr="00617A78">
        <w:rPr>
          <w:rFonts w:ascii="Times New Roman" w:hAnsi="Times New Roman" w:cs="Times New Roman"/>
          <w:i/>
        </w:rPr>
        <w:t xml:space="preserve"> </w:t>
      </w:r>
      <w:r w:rsidRPr="00617A78">
        <w:rPr>
          <w:rFonts w:ascii="Times New Roman" w:hAnsi="Times New Roman" w:cs="Times New Roman"/>
        </w:rPr>
        <w:t>Court’s discussion on the topic of manifest disregard is limited; no attempt is made to elaborate on the meaning of manifest disregard,</w:t>
      </w:r>
      <w:bookmarkStart w:id="6" w:name="_Ref355707198"/>
      <w:r w:rsidRPr="00617A78">
        <w:rPr>
          <w:rStyle w:val="FootnoteReference"/>
          <w:rFonts w:ascii="Times New Roman" w:hAnsi="Times New Roman" w:cs="Times New Roman"/>
        </w:rPr>
        <w:footnoteReference w:id="17"/>
      </w:r>
      <w:bookmarkEnd w:id="6"/>
      <w:r w:rsidRPr="00617A78">
        <w:rPr>
          <w:rFonts w:ascii="Times New Roman" w:hAnsi="Times New Roman" w:cs="Times New Roman"/>
        </w:rPr>
        <w:t xml:space="preserve"> making </w:t>
      </w:r>
      <w:r w:rsidR="004B20C5" w:rsidRPr="00617A78">
        <w:rPr>
          <w:rFonts w:ascii="Times New Roman" w:hAnsi="Times New Roman" w:cs="Times New Roman"/>
        </w:rPr>
        <w:t xml:space="preserve">it </w:t>
      </w:r>
      <w:r w:rsidRPr="00617A78">
        <w:rPr>
          <w:rFonts w:ascii="Times New Roman" w:hAnsi="Times New Roman" w:cs="Times New Roman"/>
        </w:rPr>
        <w:t xml:space="preserve">difficult for courts to </w:t>
      </w:r>
      <w:r w:rsidRPr="00617A78">
        <w:rPr>
          <w:rFonts w:ascii="Times New Roman" w:hAnsi="Times New Roman" w:cs="Times New Roman"/>
        </w:rPr>
        <w:lastRenderedPageBreak/>
        <w:t xml:space="preserve">determine the meaning of, </w:t>
      </w:r>
      <w:r w:rsidR="00E92CDE" w:rsidRPr="00617A78">
        <w:rPr>
          <w:rFonts w:ascii="Times New Roman" w:hAnsi="Times New Roman" w:cs="Times New Roman"/>
        </w:rPr>
        <w:t xml:space="preserve">and </w:t>
      </w:r>
      <w:r w:rsidRPr="00617A78">
        <w:rPr>
          <w:rFonts w:ascii="Times New Roman" w:hAnsi="Times New Roman" w:cs="Times New Roman"/>
        </w:rPr>
        <w:t xml:space="preserve">the amount of weight that should be afforded to, </w:t>
      </w:r>
      <w:proofErr w:type="spellStart"/>
      <w:r w:rsidRPr="00617A78">
        <w:rPr>
          <w:rFonts w:ascii="Times New Roman" w:hAnsi="Times New Roman" w:cs="Times New Roman"/>
          <w:i/>
        </w:rPr>
        <w:t>Wilko’s</w:t>
      </w:r>
      <w:proofErr w:type="spellEnd"/>
      <w:r w:rsidRPr="00617A78">
        <w:rPr>
          <w:rFonts w:ascii="Times New Roman" w:hAnsi="Times New Roman" w:cs="Times New Roman"/>
        </w:rPr>
        <w:t xml:space="preserve"> ambiguous statement.</w:t>
      </w:r>
      <w:r w:rsidRPr="00617A78">
        <w:rPr>
          <w:rStyle w:val="FootnoteReference"/>
          <w:rFonts w:ascii="Times New Roman" w:hAnsi="Times New Roman" w:cs="Times New Roman"/>
        </w:rPr>
        <w:footnoteReference w:id="18"/>
      </w:r>
      <w:r w:rsidRPr="00617A78">
        <w:rPr>
          <w:rFonts w:ascii="Times New Roman" w:hAnsi="Times New Roman" w:cs="Times New Roman"/>
        </w:rPr>
        <w:t xml:space="preserve"> </w:t>
      </w:r>
    </w:p>
    <w:p w14:paraId="094DB2CE" w14:textId="507C2335" w:rsidR="007C587F" w:rsidRPr="00617A78" w:rsidRDefault="007C587F" w:rsidP="00F310C2">
      <w:pPr>
        <w:widowControl w:val="0"/>
        <w:ind w:firstLine="720"/>
        <w:jc w:val="both"/>
        <w:rPr>
          <w:rFonts w:ascii="Times New Roman" w:hAnsi="Times New Roman" w:cs="Times New Roman"/>
        </w:rPr>
      </w:pPr>
    </w:p>
    <w:p w14:paraId="6E0B0FDF" w14:textId="77777777" w:rsidR="00B13F8B" w:rsidRDefault="007C587F" w:rsidP="002103AF">
      <w:pPr>
        <w:widowControl w:val="0"/>
        <w:ind w:firstLine="720"/>
        <w:jc w:val="both"/>
        <w:rPr>
          <w:rFonts w:ascii="Times New Roman" w:hAnsi="Times New Roman" w:cs="Times New Roman"/>
        </w:rPr>
      </w:pPr>
      <w:r w:rsidRPr="00617A78">
        <w:rPr>
          <w:rFonts w:ascii="Times New Roman" w:hAnsi="Times New Roman" w:cs="Times New Roman"/>
        </w:rPr>
        <w:t xml:space="preserve">Further complicating the issue is the fact that </w:t>
      </w:r>
      <w:proofErr w:type="spellStart"/>
      <w:r w:rsidRPr="00617A78">
        <w:rPr>
          <w:rFonts w:ascii="Times New Roman" w:hAnsi="Times New Roman" w:cs="Times New Roman"/>
          <w:i/>
        </w:rPr>
        <w:t>Wilko</w:t>
      </w:r>
      <w:proofErr w:type="spellEnd"/>
      <w:r w:rsidRPr="00617A78">
        <w:rPr>
          <w:rFonts w:ascii="Times New Roman" w:hAnsi="Times New Roman" w:cs="Times New Roman"/>
        </w:rPr>
        <w:t xml:space="preserve"> did not directly concern the scope of judicial review with regards to arbitral awards.</w:t>
      </w:r>
      <w:bookmarkStart w:id="7" w:name="_Ref355706240"/>
      <w:r w:rsidRPr="00617A78">
        <w:rPr>
          <w:rStyle w:val="FootnoteReference"/>
          <w:rFonts w:ascii="Times New Roman" w:hAnsi="Times New Roman" w:cs="Times New Roman"/>
        </w:rPr>
        <w:footnoteReference w:id="19"/>
      </w:r>
      <w:bookmarkEnd w:id="7"/>
      <w:r w:rsidRPr="00617A78">
        <w:rPr>
          <w:rFonts w:ascii="Times New Roman" w:hAnsi="Times New Roman" w:cs="Times New Roman"/>
        </w:rPr>
        <w:t xml:space="preserve"> Rather, the issue confronted by the Court “was whether anti-fraud claims brought under § 12(2) of the Securities Act of 1933 could be arbitrated, or whether public policy required that such claims be litigated in state </w:t>
      </w:r>
      <w:r w:rsidR="003A1E58" w:rsidRPr="00617A78">
        <w:rPr>
          <w:rFonts w:ascii="Times New Roman" w:hAnsi="Times New Roman" w:cs="Times New Roman"/>
        </w:rPr>
        <w:t xml:space="preserve">or </w:t>
      </w:r>
      <w:r w:rsidRPr="00617A78">
        <w:rPr>
          <w:rFonts w:ascii="Times New Roman" w:hAnsi="Times New Roman" w:cs="Times New Roman"/>
        </w:rPr>
        <w:t>federal court.”</w:t>
      </w:r>
      <w:r w:rsidRPr="00617A78">
        <w:rPr>
          <w:rStyle w:val="FootnoteReference"/>
          <w:rFonts w:ascii="Times New Roman" w:hAnsi="Times New Roman" w:cs="Times New Roman"/>
        </w:rPr>
        <w:footnoteReference w:id="20"/>
      </w:r>
      <w:r w:rsidRPr="00617A78">
        <w:rPr>
          <w:rFonts w:ascii="Times New Roman" w:hAnsi="Times New Roman" w:cs="Times New Roman"/>
        </w:rPr>
        <w:t xml:space="preserve"> The Court’s statement regarding “manifest disregard” was merely a byproduct of this analysis;</w:t>
      </w:r>
      <w:r w:rsidRPr="00617A78">
        <w:rPr>
          <w:rStyle w:val="FootnoteReference"/>
          <w:rFonts w:ascii="Times New Roman" w:hAnsi="Times New Roman" w:cs="Times New Roman"/>
        </w:rPr>
        <w:footnoteReference w:id="21"/>
      </w:r>
      <w:r w:rsidRPr="00617A78">
        <w:rPr>
          <w:rFonts w:ascii="Times New Roman" w:hAnsi="Times New Roman" w:cs="Times New Roman"/>
        </w:rPr>
        <w:t xml:space="preserve"> as </w:t>
      </w:r>
      <w:r w:rsidR="004B20C5" w:rsidRPr="00617A78">
        <w:rPr>
          <w:rFonts w:ascii="Times New Roman" w:hAnsi="Times New Roman" w:cs="Times New Roman"/>
        </w:rPr>
        <w:t xml:space="preserve">Kenneth </w:t>
      </w:r>
      <w:r w:rsidRPr="00617A78">
        <w:rPr>
          <w:rFonts w:ascii="Times New Roman" w:hAnsi="Times New Roman" w:cs="Times New Roman"/>
        </w:rPr>
        <w:t>Davis notes, after addressing the main issue, the Supreme Court “lapsed into muddled dicta, which has cast the issue of the scope of judicial review of arbitration awards into uncertainty for over half a century.”</w:t>
      </w:r>
      <w:r w:rsidRPr="00617A78">
        <w:rPr>
          <w:rStyle w:val="FootnoteReference"/>
          <w:rFonts w:ascii="Times New Roman" w:hAnsi="Times New Roman" w:cs="Times New Roman"/>
        </w:rPr>
        <w:footnoteReference w:id="22"/>
      </w:r>
      <w:r w:rsidRPr="00617A78">
        <w:rPr>
          <w:rFonts w:ascii="Times New Roman" w:hAnsi="Times New Roman" w:cs="Times New Roman"/>
        </w:rPr>
        <w:t xml:space="preserve"> This uncertainty resulted in confusion amongst courts, as acknowledged by Fifth Circuit in </w:t>
      </w:r>
      <w:r w:rsidRPr="00617A78">
        <w:rPr>
          <w:rFonts w:ascii="Times New Roman" w:hAnsi="Times New Roman" w:cs="Times New Roman"/>
          <w:i/>
        </w:rPr>
        <w:t xml:space="preserve">Citigroup Global </w:t>
      </w:r>
      <w:proofErr w:type="spellStart"/>
      <w:r w:rsidRPr="00617A78">
        <w:rPr>
          <w:rFonts w:ascii="Times New Roman" w:hAnsi="Times New Roman" w:cs="Times New Roman"/>
          <w:i/>
        </w:rPr>
        <w:t>Mkts</w:t>
      </w:r>
      <w:proofErr w:type="spellEnd"/>
      <w:r w:rsidRPr="00617A78">
        <w:rPr>
          <w:rFonts w:ascii="Times New Roman" w:hAnsi="Times New Roman" w:cs="Times New Roman"/>
          <w:i/>
        </w:rPr>
        <w:t>. Inc. v. Bacon</w:t>
      </w:r>
      <w:r w:rsidRPr="00617A78">
        <w:rPr>
          <w:rFonts w:ascii="Times New Roman" w:hAnsi="Times New Roman" w:cs="Times New Roman"/>
        </w:rPr>
        <w:t xml:space="preserve">, where the court stated that it was unsurprising that “lower courts initially grappled with the uncertain implications” of the </w:t>
      </w:r>
      <w:proofErr w:type="spellStart"/>
      <w:r w:rsidRPr="00617A78">
        <w:rPr>
          <w:rFonts w:ascii="Times New Roman" w:hAnsi="Times New Roman" w:cs="Times New Roman"/>
          <w:i/>
        </w:rPr>
        <w:t>Wilko</w:t>
      </w:r>
      <w:proofErr w:type="spellEnd"/>
      <w:r w:rsidRPr="00617A78">
        <w:rPr>
          <w:rFonts w:ascii="Times New Roman" w:hAnsi="Times New Roman" w:cs="Times New Roman"/>
          <w:i/>
        </w:rPr>
        <w:t xml:space="preserve"> </w:t>
      </w:r>
      <w:r w:rsidRPr="00617A78">
        <w:rPr>
          <w:rFonts w:ascii="Times New Roman" w:hAnsi="Times New Roman" w:cs="Times New Roman"/>
        </w:rPr>
        <w:t>Court’s ambiguous statement.</w:t>
      </w:r>
      <w:bookmarkStart w:id="8" w:name="_Ref355710474"/>
      <w:r w:rsidRPr="00617A78">
        <w:rPr>
          <w:rStyle w:val="FootnoteReference"/>
          <w:rFonts w:ascii="Times New Roman" w:hAnsi="Times New Roman" w:cs="Times New Roman"/>
        </w:rPr>
        <w:footnoteReference w:id="23"/>
      </w:r>
      <w:bookmarkEnd w:id="8"/>
    </w:p>
    <w:p w14:paraId="04D14A7A" w14:textId="755BDBB4" w:rsidR="007C587F" w:rsidRPr="00617A78" w:rsidRDefault="007C587F" w:rsidP="002103AF">
      <w:pPr>
        <w:widowControl w:val="0"/>
        <w:ind w:firstLine="720"/>
        <w:jc w:val="both"/>
        <w:rPr>
          <w:rFonts w:ascii="Times New Roman" w:hAnsi="Times New Roman" w:cs="Times New Roman"/>
        </w:rPr>
      </w:pPr>
    </w:p>
    <w:p w14:paraId="0AFAF081" w14:textId="328AFF0C" w:rsidR="004E77D6" w:rsidRDefault="00140F78" w:rsidP="002103AF">
      <w:pPr>
        <w:widowControl w:val="0"/>
        <w:ind w:firstLine="720"/>
        <w:jc w:val="both"/>
        <w:rPr>
          <w:rFonts w:ascii="Times New Roman" w:hAnsi="Times New Roman" w:cs="Times New Roman"/>
        </w:rPr>
      </w:pPr>
      <w:r w:rsidRPr="00617A78">
        <w:rPr>
          <w:rFonts w:ascii="Times New Roman" w:hAnsi="Times New Roman" w:cs="Times New Roman"/>
        </w:rPr>
        <w:t xml:space="preserve">Despite the confusion and lack of direction regarding the meaning and application of the manifest disregard standard following the decision </w:t>
      </w:r>
      <w:r w:rsidRPr="00617A78">
        <w:rPr>
          <w:rFonts w:ascii="Times New Roman" w:hAnsi="Times New Roman" w:cs="Times New Roman"/>
        </w:rPr>
        <w:lastRenderedPageBreak/>
        <w:t xml:space="preserve">in </w:t>
      </w:r>
      <w:proofErr w:type="spellStart"/>
      <w:r w:rsidRPr="00617A78">
        <w:rPr>
          <w:rFonts w:ascii="Times New Roman" w:hAnsi="Times New Roman" w:cs="Times New Roman"/>
          <w:i/>
        </w:rPr>
        <w:t>Wilko</w:t>
      </w:r>
      <w:proofErr w:type="spellEnd"/>
      <w:r w:rsidRPr="00617A78">
        <w:rPr>
          <w:rFonts w:ascii="Times New Roman" w:hAnsi="Times New Roman" w:cs="Times New Roman"/>
        </w:rPr>
        <w:t>, all circuit courts</w:t>
      </w:r>
      <w:r w:rsidRPr="00617A78">
        <w:rPr>
          <w:rStyle w:val="FootnoteReference"/>
          <w:rFonts w:ascii="Times New Roman" w:hAnsi="Times New Roman" w:cs="Times New Roman"/>
        </w:rPr>
        <w:footnoteReference w:id="24"/>
      </w:r>
      <w:r w:rsidRPr="00617A78">
        <w:rPr>
          <w:rFonts w:ascii="Times New Roman" w:hAnsi="Times New Roman" w:cs="Times New Roman"/>
        </w:rPr>
        <w:t xml:space="preserve"> eventually adopted/recognized the doctrine (though some courts have since repudiated their acceptance</w:t>
      </w:r>
      <w:r w:rsidRPr="00617A78">
        <w:rPr>
          <w:rStyle w:val="FootnoteReference"/>
          <w:rFonts w:ascii="Times New Roman" w:hAnsi="Times New Roman" w:cs="Times New Roman"/>
        </w:rPr>
        <w:footnoteReference w:id="25"/>
      </w:r>
      <w:r w:rsidRPr="00617A78">
        <w:rPr>
          <w:rFonts w:ascii="Times New Roman" w:hAnsi="Times New Roman" w:cs="Times New Roman"/>
        </w:rPr>
        <w:t>).</w:t>
      </w:r>
      <w:r w:rsidRPr="00617A78">
        <w:rPr>
          <w:rStyle w:val="FootnoteReference"/>
          <w:rFonts w:ascii="Times New Roman" w:hAnsi="Times New Roman" w:cs="Times New Roman"/>
        </w:rPr>
        <w:footnoteReference w:id="26"/>
      </w:r>
      <w:r w:rsidRPr="00617A78">
        <w:rPr>
          <w:rFonts w:ascii="Times New Roman" w:hAnsi="Times New Roman" w:cs="Times New Roman"/>
        </w:rPr>
        <w:t xml:space="preserve"> This was partially due, at least for certain circuits, to the Supreme Court’s opinion in </w:t>
      </w:r>
      <w:r w:rsidRPr="00617A78">
        <w:rPr>
          <w:rFonts w:ascii="Times New Roman" w:hAnsi="Times New Roman" w:cs="Times New Roman"/>
          <w:i/>
        </w:rPr>
        <w:t xml:space="preserve">First Option of Chicago, Inc. v. </w:t>
      </w:r>
      <w:proofErr w:type="spellStart"/>
      <w:r w:rsidRPr="00617A78">
        <w:rPr>
          <w:rFonts w:ascii="Times New Roman" w:hAnsi="Times New Roman" w:cs="Times New Roman"/>
          <w:i/>
        </w:rPr>
        <w:t>Kaplen</w:t>
      </w:r>
      <w:proofErr w:type="spellEnd"/>
      <w:r w:rsidRPr="00617A78">
        <w:rPr>
          <w:rFonts w:ascii="Times New Roman" w:hAnsi="Times New Roman" w:cs="Times New Roman"/>
        </w:rPr>
        <w:t>,</w:t>
      </w:r>
      <w:r w:rsidRPr="00617A78">
        <w:rPr>
          <w:rFonts w:ascii="Times New Roman" w:hAnsi="Times New Roman" w:cs="Times New Roman"/>
          <w:i/>
        </w:rPr>
        <w:t xml:space="preserve"> </w:t>
      </w:r>
      <w:r w:rsidRPr="00617A78">
        <w:rPr>
          <w:rFonts w:ascii="Times New Roman" w:hAnsi="Times New Roman" w:cs="Times New Roman"/>
        </w:rPr>
        <w:t xml:space="preserve">where the Court cited </w:t>
      </w:r>
      <w:proofErr w:type="spellStart"/>
      <w:r w:rsidRPr="00617A78">
        <w:rPr>
          <w:rFonts w:ascii="Times New Roman" w:hAnsi="Times New Roman" w:cs="Times New Roman"/>
          <w:i/>
        </w:rPr>
        <w:t>Wilko</w:t>
      </w:r>
      <w:proofErr w:type="spellEnd"/>
      <w:r w:rsidRPr="00617A78">
        <w:rPr>
          <w:rFonts w:ascii="Times New Roman" w:hAnsi="Times New Roman" w:cs="Times New Roman"/>
          <w:i/>
        </w:rPr>
        <w:t xml:space="preserve"> </w:t>
      </w:r>
      <w:r w:rsidRPr="00617A78">
        <w:rPr>
          <w:rFonts w:ascii="Times New Roman" w:hAnsi="Times New Roman" w:cs="Times New Roman"/>
        </w:rPr>
        <w:t>with approval and stated that a party can still “ask a court to review the arbitrator's decision, but the court will set that decision aside only in very unusual circumstances.”</w:t>
      </w:r>
      <w:r w:rsidRPr="00617A78">
        <w:rPr>
          <w:rStyle w:val="FootnoteReference"/>
          <w:rFonts w:ascii="Times New Roman" w:hAnsi="Times New Roman" w:cs="Times New Roman"/>
        </w:rPr>
        <w:footnoteReference w:id="27"/>
      </w:r>
      <w:r w:rsidRPr="00617A78">
        <w:rPr>
          <w:rFonts w:ascii="Times New Roman" w:hAnsi="Times New Roman" w:cs="Times New Roman"/>
        </w:rPr>
        <w:t xml:space="preserve"> Other than </w:t>
      </w:r>
      <w:r w:rsidRPr="00617A78">
        <w:rPr>
          <w:rFonts w:ascii="Times New Roman" w:hAnsi="Times New Roman" w:cs="Times New Roman"/>
          <w:i/>
        </w:rPr>
        <w:t>First Option</w:t>
      </w:r>
      <w:r w:rsidRPr="00617A78">
        <w:rPr>
          <w:rFonts w:ascii="Times New Roman" w:hAnsi="Times New Roman" w:cs="Times New Roman"/>
        </w:rPr>
        <w:t xml:space="preserve">, however, the Supreme </w:t>
      </w:r>
      <w:r w:rsidRPr="00617A78">
        <w:rPr>
          <w:rFonts w:ascii="Times New Roman" w:hAnsi="Times New Roman" w:cs="Times New Roman"/>
        </w:rPr>
        <w:lastRenderedPageBreak/>
        <w:t>Court seldom addressed the doctrine of manifest disregard,</w:t>
      </w:r>
      <w:r w:rsidRPr="00617A78">
        <w:rPr>
          <w:rStyle w:val="FootnoteReference"/>
          <w:rFonts w:ascii="Times New Roman" w:hAnsi="Times New Roman" w:cs="Times New Roman"/>
        </w:rPr>
        <w:footnoteReference w:id="28"/>
      </w:r>
      <w:r w:rsidRPr="00617A78">
        <w:rPr>
          <w:rFonts w:ascii="Times New Roman" w:hAnsi="Times New Roman" w:cs="Times New Roman"/>
        </w:rPr>
        <w:t xml:space="preserve"> and as Burch references in relation to </w:t>
      </w:r>
      <w:r w:rsidRPr="00617A78">
        <w:rPr>
          <w:rFonts w:ascii="Times New Roman" w:hAnsi="Times New Roman" w:cs="Times New Roman"/>
          <w:i/>
        </w:rPr>
        <w:t>Hall Street</w:t>
      </w:r>
      <w:r w:rsidRPr="00617A78">
        <w:rPr>
          <w:rFonts w:ascii="Times New Roman" w:hAnsi="Times New Roman" w:cs="Times New Roman"/>
        </w:rPr>
        <w:t>, “only recently did the Court give it any substantive analysis.”</w:t>
      </w:r>
      <w:r w:rsidRPr="00617A78">
        <w:rPr>
          <w:rStyle w:val="FootnoteReference"/>
          <w:rFonts w:ascii="Times New Roman" w:hAnsi="Times New Roman" w:cs="Times New Roman"/>
        </w:rPr>
        <w:footnoteReference w:id="29"/>
      </w:r>
      <w:r w:rsidRPr="00617A78">
        <w:rPr>
          <w:rFonts w:ascii="Times New Roman" w:hAnsi="Times New Roman" w:cs="Times New Roman"/>
        </w:rPr>
        <w:t xml:space="preserve"> As a result, lower courts </w:t>
      </w:r>
      <w:r w:rsidR="004648BB">
        <w:rPr>
          <w:rFonts w:ascii="Times New Roman" w:hAnsi="Times New Roman" w:cs="Times New Roman"/>
        </w:rPr>
        <w:t>were</w:t>
      </w:r>
      <w:r w:rsidRPr="00617A78">
        <w:rPr>
          <w:rFonts w:ascii="Times New Roman" w:hAnsi="Times New Roman" w:cs="Times New Roman"/>
        </w:rPr>
        <w:t xml:space="preserve"> left to apply the doctrine absents clear direction or constraint, resulting in</w:t>
      </w:r>
      <w:r w:rsidR="004E77D6">
        <w:rPr>
          <w:rFonts w:ascii="Times New Roman" w:hAnsi="Times New Roman" w:cs="Times New Roman"/>
        </w:rPr>
        <w:t xml:space="preserve"> d</w:t>
      </w:r>
      <w:r w:rsidRPr="00617A78">
        <w:rPr>
          <w:rFonts w:ascii="Times New Roman" w:hAnsi="Times New Roman" w:cs="Times New Roman"/>
        </w:rPr>
        <w:t>iffering articulation and application of the standard.</w:t>
      </w:r>
      <w:r w:rsidRPr="00617A78">
        <w:rPr>
          <w:rStyle w:val="FootnoteReference"/>
          <w:rFonts w:ascii="Times New Roman" w:hAnsi="Times New Roman" w:cs="Times New Roman"/>
        </w:rPr>
        <w:footnoteReference w:id="30"/>
      </w:r>
      <w:r w:rsidRPr="00617A78">
        <w:rPr>
          <w:rFonts w:ascii="Times New Roman" w:hAnsi="Times New Roman" w:cs="Times New Roman"/>
        </w:rPr>
        <w:t xml:space="preserve"> </w:t>
      </w:r>
    </w:p>
    <w:p w14:paraId="69B411A7" w14:textId="77777777" w:rsidR="00BB7AC2" w:rsidRDefault="00BB7AC2" w:rsidP="004E77D6">
      <w:pPr>
        <w:widowControl w:val="0"/>
        <w:ind w:firstLine="360"/>
        <w:jc w:val="both"/>
        <w:rPr>
          <w:rFonts w:ascii="Times New Roman" w:hAnsi="Times New Roman" w:cs="Times New Roman"/>
        </w:rPr>
      </w:pPr>
    </w:p>
    <w:p w14:paraId="7A92A784" w14:textId="3C163046" w:rsidR="00140F78" w:rsidRPr="00BB7AC2" w:rsidRDefault="007C587F" w:rsidP="00BB7AC2">
      <w:pPr>
        <w:pStyle w:val="ListParagraph"/>
        <w:widowControl w:val="0"/>
        <w:numPr>
          <w:ilvl w:val="1"/>
          <w:numId w:val="1"/>
        </w:numPr>
        <w:jc w:val="both"/>
        <w:rPr>
          <w:rFonts w:ascii="Times New Roman" w:hAnsi="Times New Roman" w:cs="Times New Roman"/>
          <w:u w:val="single"/>
        </w:rPr>
      </w:pPr>
      <w:r w:rsidRPr="00BB7AC2">
        <w:rPr>
          <w:rFonts w:ascii="Times New Roman" w:hAnsi="Times New Roman" w:cs="Times New Roman"/>
          <w:u w:val="single"/>
        </w:rPr>
        <w:t xml:space="preserve">Approaches to Applying the Doctrine of </w:t>
      </w:r>
      <w:r w:rsidR="00706CFA" w:rsidRPr="00BB7AC2">
        <w:rPr>
          <w:rFonts w:ascii="Times New Roman" w:hAnsi="Times New Roman" w:cs="Times New Roman"/>
          <w:u w:val="single"/>
        </w:rPr>
        <w:t>Manifest</w:t>
      </w:r>
      <w:r w:rsidRPr="00BB7AC2">
        <w:rPr>
          <w:rFonts w:ascii="Times New Roman" w:hAnsi="Times New Roman" w:cs="Times New Roman"/>
          <w:u w:val="single"/>
        </w:rPr>
        <w:t xml:space="preserve"> Disregard Following </w:t>
      </w:r>
      <w:proofErr w:type="spellStart"/>
      <w:r w:rsidRPr="004648BB">
        <w:rPr>
          <w:rFonts w:ascii="Times New Roman" w:hAnsi="Times New Roman" w:cs="Times New Roman"/>
          <w:i/>
          <w:u w:val="single"/>
        </w:rPr>
        <w:t>Wilko</w:t>
      </w:r>
      <w:proofErr w:type="spellEnd"/>
      <w:r w:rsidRPr="00BB7AC2">
        <w:rPr>
          <w:rFonts w:ascii="Times New Roman" w:hAnsi="Times New Roman" w:cs="Times New Roman"/>
          <w:u w:val="single"/>
        </w:rPr>
        <w:t xml:space="preserve"> (but before </w:t>
      </w:r>
      <w:r w:rsidRPr="004648BB">
        <w:rPr>
          <w:rFonts w:ascii="Times New Roman" w:hAnsi="Times New Roman" w:cs="Times New Roman"/>
          <w:i/>
          <w:u w:val="single"/>
        </w:rPr>
        <w:t>Hall Street</w:t>
      </w:r>
      <w:r w:rsidRPr="00BB7AC2">
        <w:rPr>
          <w:rFonts w:ascii="Times New Roman" w:hAnsi="Times New Roman" w:cs="Times New Roman"/>
          <w:u w:val="single"/>
        </w:rPr>
        <w:t>)</w:t>
      </w:r>
    </w:p>
    <w:p w14:paraId="339AF148" w14:textId="77777777" w:rsidR="00140F78" w:rsidRPr="00617A78" w:rsidRDefault="00140F78" w:rsidP="004E77D6">
      <w:pPr>
        <w:pStyle w:val="ListParagraph"/>
        <w:widowControl w:val="0"/>
        <w:ind w:left="990"/>
        <w:rPr>
          <w:rFonts w:ascii="Times New Roman" w:hAnsi="Times New Roman" w:cs="Times New Roman"/>
          <w:i/>
        </w:rPr>
      </w:pPr>
    </w:p>
    <w:p w14:paraId="552F7C7E" w14:textId="461CBD28" w:rsidR="007C587F" w:rsidRDefault="007C587F" w:rsidP="004E77D6">
      <w:pPr>
        <w:widowControl w:val="0"/>
        <w:ind w:firstLine="720"/>
        <w:jc w:val="both"/>
        <w:rPr>
          <w:rFonts w:ascii="Times New Roman" w:hAnsi="Times New Roman" w:cs="Times New Roman"/>
        </w:rPr>
      </w:pPr>
      <w:r w:rsidRPr="00617A78">
        <w:rPr>
          <w:rFonts w:ascii="Times New Roman" w:hAnsi="Times New Roman" w:cs="Times New Roman"/>
        </w:rPr>
        <w:t xml:space="preserve">Following </w:t>
      </w:r>
      <w:proofErr w:type="spellStart"/>
      <w:r w:rsidRPr="00617A78">
        <w:rPr>
          <w:rFonts w:ascii="Times New Roman" w:hAnsi="Times New Roman" w:cs="Times New Roman"/>
          <w:i/>
        </w:rPr>
        <w:t>Wilko</w:t>
      </w:r>
      <w:proofErr w:type="spellEnd"/>
      <w:r w:rsidRPr="00617A78">
        <w:rPr>
          <w:rFonts w:ascii="Times New Roman" w:hAnsi="Times New Roman" w:cs="Times New Roman"/>
        </w:rPr>
        <w:t>, various approaches to and applications of the doctrine of manifest disregard surfaced, “some very broad, some extremely narrow, but all attempting to b</w:t>
      </w:r>
      <w:r w:rsidR="004B20C5" w:rsidRPr="00617A78">
        <w:rPr>
          <w:rFonts w:ascii="Times New Roman" w:hAnsi="Times New Roman" w:cs="Times New Roman"/>
        </w:rPr>
        <w:t>alance arbitration’s competing g</w:t>
      </w:r>
      <w:r w:rsidRPr="00617A78">
        <w:rPr>
          <w:rFonts w:ascii="Times New Roman" w:hAnsi="Times New Roman" w:cs="Times New Roman"/>
        </w:rPr>
        <w:t>oals of efficiency and accuracy.”</w:t>
      </w:r>
      <w:r w:rsidRPr="00617A78">
        <w:rPr>
          <w:rStyle w:val="FootnoteReference"/>
          <w:rFonts w:ascii="Times New Roman" w:hAnsi="Times New Roman" w:cs="Times New Roman"/>
        </w:rPr>
        <w:footnoteReference w:id="31"/>
      </w:r>
      <w:r w:rsidRPr="00617A78">
        <w:rPr>
          <w:rFonts w:ascii="Times New Roman" w:hAnsi="Times New Roman" w:cs="Times New Roman"/>
        </w:rPr>
        <w:t xml:space="preserve"> Thomas Burch, referencing Stephan </w:t>
      </w:r>
      <w:proofErr w:type="spellStart"/>
      <w:r w:rsidRPr="00617A78">
        <w:rPr>
          <w:rFonts w:ascii="Times New Roman" w:hAnsi="Times New Roman" w:cs="Times New Roman"/>
        </w:rPr>
        <w:t>Hayford</w:t>
      </w:r>
      <w:proofErr w:type="spellEnd"/>
      <w:r w:rsidRPr="00617A78">
        <w:rPr>
          <w:rFonts w:ascii="Times New Roman" w:hAnsi="Times New Roman" w:cs="Times New Roman"/>
        </w:rPr>
        <w:t>,</w:t>
      </w:r>
      <w:bookmarkStart w:id="9" w:name="_Ref355708431"/>
      <w:r w:rsidR="00110BD1" w:rsidRPr="00617A78">
        <w:rPr>
          <w:rStyle w:val="FootnoteReference"/>
          <w:rFonts w:ascii="Times New Roman" w:hAnsi="Times New Roman" w:cs="Times New Roman"/>
        </w:rPr>
        <w:footnoteReference w:id="32"/>
      </w:r>
      <w:bookmarkEnd w:id="9"/>
      <w:r w:rsidRPr="00617A78">
        <w:rPr>
          <w:rFonts w:ascii="Times New Roman" w:hAnsi="Times New Roman" w:cs="Times New Roman"/>
        </w:rPr>
        <w:t xml:space="preserve"> divides these varying applications into three possible approaches: (1) the “futility-acknowledge”</w:t>
      </w:r>
      <w:r w:rsidRPr="00617A78">
        <w:rPr>
          <w:rStyle w:val="FootnoteReference"/>
          <w:rFonts w:ascii="Times New Roman" w:hAnsi="Times New Roman" w:cs="Times New Roman"/>
        </w:rPr>
        <w:footnoteReference w:id="33"/>
      </w:r>
      <w:r w:rsidRPr="00617A78">
        <w:rPr>
          <w:rFonts w:ascii="Times New Roman" w:hAnsi="Times New Roman" w:cs="Times New Roman"/>
        </w:rPr>
        <w:t>approach; (2) the “big error”</w:t>
      </w:r>
      <w:r w:rsidRPr="00617A78">
        <w:rPr>
          <w:rStyle w:val="FootnoteReference"/>
          <w:rFonts w:ascii="Times New Roman" w:hAnsi="Times New Roman" w:cs="Times New Roman"/>
        </w:rPr>
        <w:footnoteReference w:id="34"/>
      </w:r>
      <w:r w:rsidRPr="00617A78">
        <w:rPr>
          <w:rFonts w:ascii="Times New Roman" w:hAnsi="Times New Roman" w:cs="Times New Roman"/>
        </w:rPr>
        <w:t xml:space="preserve"> approach; and (3) “presumption-based”</w:t>
      </w:r>
      <w:r w:rsidRPr="00617A78">
        <w:rPr>
          <w:rStyle w:val="FootnoteReference"/>
          <w:rFonts w:ascii="Times New Roman" w:hAnsi="Times New Roman" w:cs="Times New Roman"/>
        </w:rPr>
        <w:footnoteReference w:id="35"/>
      </w:r>
      <w:r w:rsidRPr="00617A78">
        <w:rPr>
          <w:rFonts w:ascii="Times New Roman" w:hAnsi="Times New Roman" w:cs="Times New Roman"/>
        </w:rPr>
        <w:t xml:space="preserve"> approach.</w:t>
      </w:r>
      <w:r w:rsidRPr="00617A78">
        <w:rPr>
          <w:rStyle w:val="FootnoteReference"/>
          <w:rFonts w:ascii="Times New Roman" w:hAnsi="Times New Roman" w:cs="Times New Roman"/>
        </w:rPr>
        <w:footnoteReference w:id="36"/>
      </w:r>
      <w:r w:rsidRPr="00617A78">
        <w:rPr>
          <w:rFonts w:ascii="Times New Roman" w:hAnsi="Times New Roman" w:cs="Times New Roman"/>
        </w:rPr>
        <w:t xml:space="preserve"> </w:t>
      </w:r>
    </w:p>
    <w:p w14:paraId="19673306" w14:textId="77777777" w:rsidR="004648BB" w:rsidRPr="00617A78" w:rsidRDefault="004648BB" w:rsidP="004E77D6">
      <w:pPr>
        <w:widowControl w:val="0"/>
        <w:ind w:firstLine="720"/>
        <w:jc w:val="both"/>
        <w:rPr>
          <w:rFonts w:ascii="Times New Roman" w:hAnsi="Times New Roman" w:cs="Times New Roman"/>
        </w:rPr>
      </w:pPr>
    </w:p>
    <w:p w14:paraId="19C7C42B" w14:textId="53259F06" w:rsidR="007C587F" w:rsidRDefault="007C587F" w:rsidP="004E77D6">
      <w:pPr>
        <w:widowControl w:val="0"/>
        <w:ind w:firstLine="720"/>
        <w:jc w:val="both"/>
        <w:rPr>
          <w:rFonts w:ascii="Times New Roman" w:hAnsi="Times New Roman" w:cs="Times New Roman"/>
        </w:rPr>
      </w:pPr>
      <w:r w:rsidRPr="00617A78">
        <w:rPr>
          <w:rFonts w:ascii="Times New Roman" w:hAnsi="Times New Roman" w:cs="Times New Roman"/>
        </w:rPr>
        <w:t>The “futility-acknowledge” approach is</w:t>
      </w:r>
      <w:r w:rsidR="00EA6D0F" w:rsidRPr="00617A78">
        <w:rPr>
          <w:rFonts w:ascii="Times New Roman" w:hAnsi="Times New Roman" w:cs="Times New Roman"/>
        </w:rPr>
        <w:t xml:space="preserve"> the narrowest approach</w:t>
      </w:r>
      <w:r w:rsidRPr="00617A78">
        <w:rPr>
          <w:rFonts w:ascii="Times New Roman" w:hAnsi="Times New Roman" w:cs="Times New Roman"/>
        </w:rPr>
        <w:t xml:space="preserve"> and is “based on the level of </w:t>
      </w:r>
      <w:r w:rsidR="008072C1">
        <w:rPr>
          <w:rFonts w:ascii="Times New Roman" w:hAnsi="Times New Roman" w:cs="Times New Roman"/>
        </w:rPr>
        <w:t>difficulty involved in determining</w:t>
      </w:r>
      <w:r w:rsidRPr="00617A78">
        <w:rPr>
          <w:rFonts w:ascii="Times New Roman" w:hAnsi="Times New Roman" w:cs="Times New Roman"/>
        </w:rPr>
        <w:t xml:space="preserve"> whether an arbitrator has consciously decided to ignore known, applicable law, especially if the arbitrator did not issue a reasoned award.”</w:t>
      </w:r>
      <w:r w:rsidRPr="00617A78">
        <w:rPr>
          <w:rStyle w:val="FootnoteReference"/>
          <w:rFonts w:ascii="Times New Roman" w:hAnsi="Times New Roman" w:cs="Times New Roman"/>
        </w:rPr>
        <w:footnoteReference w:id="37"/>
      </w:r>
      <w:r w:rsidRPr="00617A78">
        <w:rPr>
          <w:rFonts w:ascii="Times New Roman" w:hAnsi="Times New Roman" w:cs="Times New Roman"/>
        </w:rPr>
        <w:t xml:space="preserve"> Courts following this approach only apply the doctrine of manifest disregard when “direct evidence exists that the arbitrator consciously disregarded the law.”</w:t>
      </w:r>
      <w:r w:rsidRPr="00617A78">
        <w:rPr>
          <w:rStyle w:val="FootnoteReference"/>
          <w:rFonts w:ascii="Times New Roman" w:hAnsi="Times New Roman" w:cs="Times New Roman"/>
        </w:rPr>
        <w:footnoteReference w:id="38"/>
      </w:r>
      <w:r w:rsidRPr="00617A78">
        <w:rPr>
          <w:rFonts w:ascii="Times New Roman" w:hAnsi="Times New Roman" w:cs="Times New Roman"/>
        </w:rPr>
        <w:t xml:space="preserve"> This approach can be seen in </w:t>
      </w:r>
      <w:proofErr w:type="spellStart"/>
      <w:r w:rsidRPr="00617A78">
        <w:rPr>
          <w:rFonts w:ascii="Times New Roman" w:hAnsi="Times New Roman" w:cs="Times New Roman"/>
          <w:i/>
        </w:rPr>
        <w:t>Advest</w:t>
      </w:r>
      <w:proofErr w:type="spellEnd"/>
      <w:r w:rsidRPr="00617A78">
        <w:rPr>
          <w:rFonts w:ascii="Times New Roman" w:hAnsi="Times New Roman" w:cs="Times New Roman"/>
          <w:i/>
        </w:rPr>
        <w:t>, Inc. v. McCarthy</w:t>
      </w:r>
      <w:r w:rsidRPr="00617A78">
        <w:rPr>
          <w:rFonts w:ascii="Times New Roman" w:hAnsi="Times New Roman" w:cs="Times New Roman"/>
        </w:rPr>
        <w:t>. There, the First Circuit stated that, in order for an arbitration award to be vacated for manifest disregard of the law, “‘there must be some showing in the record, other than the result obtained, that the arbitrators knew the law and expressly disregarded it.’”</w:t>
      </w:r>
      <w:r w:rsidRPr="00617A78">
        <w:rPr>
          <w:rStyle w:val="FootnoteReference"/>
          <w:rFonts w:ascii="Times New Roman" w:hAnsi="Times New Roman" w:cs="Times New Roman"/>
        </w:rPr>
        <w:footnoteReference w:id="39"/>
      </w:r>
      <w:r w:rsidRPr="00617A78">
        <w:rPr>
          <w:rFonts w:ascii="Times New Roman" w:hAnsi="Times New Roman" w:cs="Times New Roman"/>
        </w:rPr>
        <w:t xml:space="preserve"> The court went on to state that “disregard” in this context “implies that the arbitrators appreciated the existence of a governing legal rule but [willfully] decided not to apply it.”</w:t>
      </w:r>
      <w:r w:rsidRPr="00617A78">
        <w:rPr>
          <w:rStyle w:val="FootnoteReference"/>
          <w:rFonts w:ascii="Times New Roman" w:hAnsi="Times New Roman" w:cs="Times New Roman"/>
        </w:rPr>
        <w:footnoteReference w:id="40"/>
      </w:r>
      <w:r w:rsidRPr="00617A78">
        <w:rPr>
          <w:rFonts w:ascii="Times New Roman" w:hAnsi="Times New Roman" w:cs="Times New Roman"/>
        </w:rPr>
        <w:t xml:space="preserve"> As the </w:t>
      </w:r>
      <w:proofErr w:type="spellStart"/>
      <w:r w:rsidRPr="00617A78">
        <w:rPr>
          <w:rFonts w:ascii="Times New Roman" w:hAnsi="Times New Roman" w:cs="Times New Roman"/>
          <w:i/>
        </w:rPr>
        <w:t>Advest</w:t>
      </w:r>
      <w:proofErr w:type="spellEnd"/>
      <w:r w:rsidRPr="00617A78">
        <w:rPr>
          <w:rFonts w:ascii="Times New Roman" w:hAnsi="Times New Roman" w:cs="Times New Roman"/>
          <w:i/>
        </w:rPr>
        <w:t xml:space="preserve"> </w:t>
      </w:r>
      <w:r w:rsidRPr="00617A78">
        <w:rPr>
          <w:rFonts w:ascii="Times New Roman" w:hAnsi="Times New Roman" w:cs="Times New Roman"/>
        </w:rPr>
        <w:t>court’s articulation implies,</w:t>
      </w:r>
      <w:r w:rsidRPr="00617A78">
        <w:rPr>
          <w:rStyle w:val="FootnoteReference"/>
          <w:rFonts w:ascii="Times New Roman" w:hAnsi="Times New Roman" w:cs="Times New Roman"/>
        </w:rPr>
        <w:footnoteReference w:id="41"/>
      </w:r>
      <w:r w:rsidRPr="00617A78">
        <w:rPr>
          <w:rFonts w:ascii="Times New Roman" w:hAnsi="Times New Roman" w:cs="Times New Roman"/>
        </w:rPr>
        <w:t xml:space="preserve"> this approach is severely limited. This is because a court utilizing this approach most likely will not overturn an award absent a reasoned award,</w:t>
      </w:r>
      <w:r w:rsidRPr="00617A78">
        <w:rPr>
          <w:rStyle w:val="FootnoteReference"/>
          <w:rFonts w:ascii="Times New Roman" w:hAnsi="Times New Roman" w:cs="Times New Roman"/>
        </w:rPr>
        <w:footnoteReference w:id="42"/>
      </w:r>
      <w:r w:rsidRPr="00617A78">
        <w:rPr>
          <w:rFonts w:ascii="Times New Roman" w:hAnsi="Times New Roman" w:cs="Times New Roman"/>
        </w:rPr>
        <w:t xml:space="preserve"> “or a transcript of the proceedings showing that the arbitrator explicitly refused to follow the law….”</w:t>
      </w:r>
      <w:r w:rsidRPr="00617A78">
        <w:rPr>
          <w:rStyle w:val="FootnoteReference"/>
          <w:rFonts w:ascii="Times New Roman" w:hAnsi="Times New Roman" w:cs="Times New Roman"/>
        </w:rPr>
        <w:footnoteReference w:id="43"/>
      </w:r>
      <w:r w:rsidRPr="00617A78">
        <w:rPr>
          <w:rFonts w:ascii="Times New Roman" w:hAnsi="Times New Roman" w:cs="Times New Roman"/>
        </w:rPr>
        <w:t xml:space="preserve"> This, Burch assert</w:t>
      </w:r>
      <w:r w:rsidR="00FF2F31" w:rsidRPr="00617A78">
        <w:rPr>
          <w:rFonts w:ascii="Times New Roman" w:hAnsi="Times New Roman" w:cs="Times New Roman"/>
        </w:rPr>
        <w:t>s</w:t>
      </w:r>
      <w:r w:rsidRPr="00617A78">
        <w:rPr>
          <w:rFonts w:ascii="Times New Roman" w:hAnsi="Times New Roman" w:cs="Times New Roman"/>
        </w:rPr>
        <w:t>, essentially renders the doctrine a nullity.</w:t>
      </w:r>
      <w:r w:rsidRPr="00617A78">
        <w:rPr>
          <w:rStyle w:val="FootnoteReference"/>
          <w:rFonts w:ascii="Times New Roman" w:hAnsi="Times New Roman" w:cs="Times New Roman"/>
        </w:rPr>
        <w:footnoteReference w:id="44"/>
      </w:r>
      <w:r w:rsidRPr="00617A78">
        <w:rPr>
          <w:rFonts w:ascii="Times New Roman" w:hAnsi="Times New Roman" w:cs="Times New Roman"/>
        </w:rPr>
        <w:t xml:space="preserve"> Nonetheless, it appears that “[m]</w:t>
      </w:r>
      <w:proofErr w:type="spellStart"/>
      <w:r w:rsidRPr="00617A78">
        <w:rPr>
          <w:rFonts w:ascii="Times New Roman" w:hAnsi="Times New Roman" w:cs="Times New Roman"/>
        </w:rPr>
        <w:t>ost</w:t>
      </w:r>
      <w:proofErr w:type="spellEnd"/>
      <w:r w:rsidRPr="00617A78">
        <w:rPr>
          <w:rFonts w:ascii="Times New Roman" w:hAnsi="Times New Roman" w:cs="Times New Roman"/>
        </w:rPr>
        <w:t xml:space="preserve"> courts that recognize manifest disregard as a ground for overturning awards</w:t>
      </w:r>
      <w:r w:rsidR="004648BB">
        <w:rPr>
          <w:rFonts w:ascii="Times New Roman" w:hAnsi="Times New Roman" w:cs="Times New Roman"/>
        </w:rPr>
        <w:t xml:space="preserve"> </w:t>
      </w:r>
      <w:r w:rsidRPr="00617A78">
        <w:rPr>
          <w:rFonts w:ascii="Times New Roman" w:hAnsi="Times New Roman" w:cs="Times New Roman"/>
        </w:rPr>
        <w:t>…</w:t>
      </w:r>
      <w:r w:rsidR="004648BB">
        <w:rPr>
          <w:rFonts w:ascii="Times New Roman" w:hAnsi="Times New Roman" w:cs="Times New Roman"/>
        </w:rPr>
        <w:t xml:space="preserve"> </w:t>
      </w:r>
      <w:r w:rsidRPr="00617A78">
        <w:rPr>
          <w:rFonts w:ascii="Times New Roman" w:hAnsi="Times New Roman" w:cs="Times New Roman"/>
        </w:rPr>
        <w:t>use this approach.”</w:t>
      </w:r>
      <w:r w:rsidRPr="00617A78">
        <w:rPr>
          <w:rStyle w:val="FootnoteReference"/>
          <w:rFonts w:ascii="Times New Roman" w:hAnsi="Times New Roman" w:cs="Times New Roman"/>
        </w:rPr>
        <w:footnoteReference w:id="45"/>
      </w:r>
    </w:p>
    <w:p w14:paraId="747DB73B" w14:textId="77777777" w:rsidR="004E77D6" w:rsidRPr="00617A78" w:rsidRDefault="004E77D6" w:rsidP="004E77D6">
      <w:pPr>
        <w:widowControl w:val="0"/>
        <w:ind w:firstLine="720"/>
        <w:jc w:val="both"/>
        <w:rPr>
          <w:rFonts w:ascii="Times New Roman" w:hAnsi="Times New Roman" w:cs="Times New Roman"/>
        </w:rPr>
      </w:pPr>
    </w:p>
    <w:p w14:paraId="1FBD69A9" w14:textId="1D09293B" w:rsidR="007C587F" w:rsidRDefault="007C587F" w:rsidP="004E77D6">
      <w:pPr>
        <w:widowControl w:val="0"/>
        <w:ind w:firstLine="720"/>
        <w:jc w:val="both"/>
        <w:rPr>
          <w:rFonts w:ascii="Times New Roman" w:hAnsi="Times New Roman" w:cs="Times New Roman"/>
        </w:rPr>
      </w:pPr>
      <w:r w:rsidRPr="00617A78">
        <w:rPr>
          <w:rFonts w:ascii="Times New Roman" w:hAnsi="Times New Roman" w:cs="Times New Roman"/>
        </w:rPr>
        <w:lastRenderedPageBreak/>
        <w:t xml:space="preserve">The broadest approach, the “big error” approach, focuses on </w:t>
      </w:r>
      <w:r w:rsidR="00B72A31">
        <w:rPr>
          <w:rFonts w:ascii="Times New Roman" w:hAnsi="Times New Roman" w:cs="Times New Roman"/>
        </w:rPr>
        <w:t>“whether the arbitrator made an</w:t>
      </w:r>
      <w:r w:rsidRPr="00617A78">
        <w:rPr>
          <w:rFonts w:ascii="Times New Roman" w:hAnsi="Times New Roman" w:cs="Times New Roman"/>
        </w:rPr>
        <w:t xml:space="preserve"> egregious </w:t>
      </w:r>
      <w:proofErr w:type="gramStart"/>
      <w:r w:rsidRPr="00617A78">
        <w:rPr>
          <w:rFonts w:ascii="Times New Roman" w:hAnsi="Times New Roman" w:cs="Times New Roman"/>
        </w:rPr>
        <w:t>mistake[</w:t>
      </w:r>
      <w:proofErr w:type="gramEnd"/>
      <w:r w:rsidRPr="00617A78">
        <w:rPr>
          <w:rFonts w:ascii="Times New Roman" w:hAnsi="Times New Roman" w:cs="Times New Roman"/>
        </w:rPr>
        <w:t>,]”</w:t>
      </w:r>
      <w:r w:rsidRPr="00617A78">
        <w:rPr>
          <w:rStyle w:val="FootnoteReference"/>
          <w:rFonts w:ascii="Times New Roman" w:hAnsi="Times New Roman" w:cs="Times New Roman"/>
        </w:rPr>
        <w:footnoteReference w:id="46"/>
      </w:r>
      <w:r w:rsidRPr="00617A78">
        <w:rPr>
          <w:rFonts w:ascii="Times New Roman" w:hAnsi="Times New Roman" w:cs="Times New Roman"/>
        </w:rPr>
        <w:t xml:space="preserve"> and unlike the “futility-acknowledge” approach, does not require direct evidence indicating that the arbitrators consciously disregarded the law.</w:t>
      </w:r>
      <w:r w:rsidRPr="00617A78">
        <w:rPr>
          <w:rStyle w:val="FootnoteReference"/>
          <w:rFonts w:ascii="Times New Roman" w:hAnsi="Times New Roman" w:cs="Times New Roman"/>
        </w:rPr>
        <w:footnoteReference w:id="47"/>
      </w:r>
      <w:r w:rsidRPr="00617A78">
        <w:rPr>
          <w:rFonts w:ascii="Times New Roman" w:hAnsi="Times New Roman" w:cs="Times New Roman"/>
        </w:rPr>
        <w:t xml:space="preserve"> Instead, courts are allowed to “overturn an arbitration award by </w:t>
      </w:r>
      <w:r w:rsidRPr="00617A78">
        <w:rPr>
          <w:rFonts w:ascii="Times New Roman" w:hAnsi="Times New Roman" w:cs="Times New Roman"/>
          <w:i/>
        </w:rPr>
        <w:t>assuming</w:t>
      </w:r>
      <w:r w:rsidRPr="00617A78">
        <w:rPr>
          <w:rFonts w:ascii="Times New Roman" w:hAnsi="Times New Roman" w:cs="Times New Roman"/>
        </w:rPr>
        <w:t xml:space="preserve"> that the arbitrator consciously disregarded known, applicable law based simply on the law’s clarity and the arbitrator’s failure to apply it.” </w:t>
      </w:r>
      <w:r w:rsidRPr="00617A78">
        <w:rPr>
          <w:rStyle w:val="FootnoteReference"/>
          <w:rFonts w:ascii="Times New Roman" w:hAnsi="Times New Roman" w:cs="Times New Roman"/>
        </w:rPr>
        <w:footnoteReference w:id="48"/>
      </w:r>
      <w:r w:rsidRPr="00617A78">
        <w:rPr>
          <w:rFonts w:ascii="Times New Roman" w:hAnsi="Times New Roman" w:cs="Times New Roman"/>
        </w:rPr>
        <w:t xml:space="preserve"> This approach is illustrated by </w:t>
      </w:r>
      <w:r w:rsidR="004B20C5" w:rsidRPr="00617A78">
        <w:rPr>
          <w:rFonts w:ascii="Times New Roman" w:hAnsi="Times New Roman" w:cs="Times New Roman"/>
        </w:rPr>
        <w:t xml:space="preserve">the </w:t>
      </w:r>
      <w:r w:rsidRPr="00617A78">
        <w:rPr>
          <w:rFonts w:ascii="Times New Roman" w:hAnsi="Times New Roman" w:cs="Times New Roman"/>
        </w:rPr>
        <w:t xml:space="preserve">Second Circuit’s </w:t>
      </w:r>
      <w:r w:rsidR="00140F78" w:rsidRPr="00617A78">
        <w:rPr>
          <w:rFonts w:ascii="Times New Roman" w:hAnsi="Times New Roman" w:cs="Times New Roman"/>
        </w:rPr>
        <w:t>language</w:t>
      </w:r>
      <w:r w:rsidRPr="00617A78">
        <w:rPr>
          <w:rFonts w:ascii="Times New Roman" w:hAnsi="Times New Roman" w:cs="Times New Roman"/>
        </w:rPr>
        <w:t xml:space="preserve"> in </w:t>
      </w:r>
      <w:proofErr w:type="spellStart"/>
      <w:r w:rsidRPr="00617A78">
        <w:rPr>
          <w:rFonts w:ascii="Times New Roman" w:hAnsi="Times New Roman" w:cs="Times New Roman"/>
          <w:i/>
          <w:iCs/>
        </w:rPr>
        <w:t>Willemijn</w:t>
      </w:r>
      <w:proofErr w:type="spellEnd"/>
      <w:r w:rsidRPr="00617A78">
        <w:rPr>
          <w:rFonts w:ascii="Times New Roman" w:hAnsi="Times New Roman" w:cs="Times New Roman"/>
          <w:i/>
          <w:iCs/>
        </w:rPr>
        <w:t xml:space="preserve"> </w:t>
      </w:r>
      <w:proofErr w:type="spellStart"/>
      <w:r w:rsidRPr="00617A78">
        <w:rPr>
          <w:rFonts w:ascii="Times New Roman" w:hAnsi="Times New Roman" w:cs="Times New Roman"/>
          <w:i/>
          <w:iCs/>
        </w:rPr>
        <w:t>Houdstermaatschappij</w:t>
      </w:r>
      <w:proofErr w:type="spellEnd"/>
      <w:r w:rsidRPr="00617A78">
        <w:rPr>
          <w:rFonts w:ascii="Times New Roman" w:hAnsi="Times New Roman" w:cs="Times New Roman"/>
          <w:i/>
          <w:iCs/>
        </w:rPr>
        <w:t>, BV v Std. Microsystems Corp</w:t>
      </w:r>
      <w:r w:rsidRPr="00617A78">
        <w:rPr>
          <w:rFonts w:ascii="Times New Roman" w:hAnsi="Times New Roman" w:cs="Times New Roman"/>
          <w:iCs/>
        </w:rPr>
        <w:t>.</w:t>
      </w:r>
      <w:r w:rsidRPr="00617A78">
        <w:rPr>
          <w:rStyle w:val="FootnoteReference"/>
          <w:rFonts w:ascii="Times New Roman" w:hAnsi="Times New Roman" w:cs="Times New Roman"/>
          <w:iCs/>
        </w:rPr>
        <w:footnoteReference w:id="49"/>
      </w:r>
      <w:r w:rsidRPr="00617A78">
        <w:rPr>
          <w:rFonts w:ascii="Times New Roman" w:hAnsi="Times New Roman" w:cs="Times New Roman"/>
          <w:iCs/>
        </w:rPr>
        <w:t xml:space="preserve"> There, the court agreed that manifest disregard of the law can be found where a</w:t>
      </w:r>
      <w:r w:rsidR="00B72A31">
        <w:rPr>
          <w:rFonts w:ascii="Times New Roman" w:hAnsi="Times New Roman" w:cs="Times New Roman"/>
          <w:iCs/>
        </w:rPr>
        <w:t>n</w:t>
      </w:r>
      <w:r w:rsidRPr="00617A78">
        <w:rPr>
          <w:rFonts w:ascii="Times New Roman" w:hAnsi="Times New Roman" w:cs="Times New Roman"/>
          <w:iCs/>
        </w:rPr>
        <w:t xml:space="preserve"> arbitrator “‘understood and correctly stated the law but proceeded to ignore it.’”</w:t>
      </w:r>
      <w:r w:rsidRPr="00617A78">
        <w:rPr>
          <w:rStyle w:val="FootnoteReference"/>
          <w:rFonts w:ascii="Times New Roman" w:hAnsi="Times New Roman" w:cs="Times New Roman"/>
          <w:iCs/>
        </w:rPr>
        <w:footnoteReference w:id="50"/>
      </w:r>
      <w:r w:rsidRPr="00617A78">
        <w:rPr>
          <w:rFonts w:ascii="Times New Roman" w:hAnsi="Times New Roman" w:cs="Times New Roman"/>
          <w:iCs/>
        </w:rPr>
        <w:t xml:space="preserve"> However, the court determined</w:t>
      </w:r>
      <w:r w:rsidRPr="00617A78">
        <w:rPr>
          <w:rFonts w:ascii="Times New Roman" w:hAnsi="Times New Roman" w:cs="Times New Roman"/>
          <w:i/>
          <w:iCs/>
        </w:rPr>
        <w:t xml:space="preserve"> </w:t>
      </w:r>
      <w:r w:rsidRPr="00617A78">
        <w:rPr>
          <w:rFonts w:ascii="Times New Roman" w:hAnsi="Times New Roman" w:cs="Times New Roman"/>
        </w:rPr>
        <w:t>that “a court may infer that [an arbitrator] manifestly disregarded the law if it finds that the error made</w:t>
      </w:r>
      <w:r w:rsidR="004648BB">
        <w:rPr>
          <w:rFonts w:ascii="Times New Roman" w:hAnsi="Times New Roman" w:cs="Times New Roman"/>
        </w:rPr>
        <w:t xml:space="preserve"> </w:t>
      </w:r>
      <w:r w:rsidRPr="00617A78">
        <w:rPr>
          <w:rFonts w:ascii="Times New Roman" w:hAnsi="Times New Roman" w:cs="Times New Roman"/>
        </w:rPr>
        <w:t>…</w:t>
      </w:r>
      <w:r w:rsidR="004648BB">
        <w:rPr>
          <w:rFonts w:ascii="Times New Roman" w:hAnsi="Times New Roman" w:cs="Times New Roman"/>
        </w:rPr>
        <w:t xml:space="preserve"> </w:t>
      </w:r>
      <w:r w:rsidRPr="00617A78">
        <w:rPr>
          <w:rFonts w:ascii="Times New Roman" w:hAnsi="Times New Roman" w:cs="Times New Roman"/>
        </w:rPr>
        <w:t>is so obvious that it would be instantly perceived by the average person qualified to serve as an arbitrator.”</w:t>
      </w:r>
      <w:r w:rsidRPr="00617A78">
        <w:rPr>
          <w:rStyle w:val="FootnoteReference"/>
          <w:rFonts w:ascii="Times New Roman" w:hAnsi="Times New Roman" w:cs="Times New Roman"/>
        </w:rPr>
        <w:footnoteReference w:id="51"/>
      </w:r>
      <w:r w:rsidRPr="00617A78">
        <w:rPr>
          <w:rFonts w:ascii="Times New Roman" w:hAnsi="Times New Roman" w:cs="Times New Roman"/>
        </w:rPr>
        <w:t xml:space="preserve"> As this statement indicates, a court applying this approach may infer from the facts of the case that an arbitrator knew applicable law, and assume he/she ignored it based on the law’s clarity. This, Burch asserts, is in contrast to the </w:t>
      </w:r>
      <w:proofErr w:type="spellStart"/>
      <w:r w:rsidRPr="00617A78">
        <w:rPr>
          <w:rFonts w:ascii="Times New Roman" w:hAnsi="Times New Roman" w:cs="Times New Roman"/>
          <w:i/>
        </w:rPr>
        <w:t>Wilko</w:t>
      </w:r>
      <w:proofErr w:type="spellEnd"/>
      <w:r w:rsidRPr="00617A78">
        <w:rPr>
          <w:rFonts w:ascii="Times New Roman" w:hAnsi="Times New Roman" w:cs="Times New Roman"/>
          <w:i/>
        </w:rPr>
        <w:t xml:space="preserve"> </w:t>
      </w:r>
      <w:r w:rsidRPr="00617A78">
        <w:rPr>
          <w:rFonts w:ascii="Times New Roman" w:hAnsi="Times New Roman" w:cs="Times New Roman"/>
        </w:rPr>
        <w:t>court’s statement “that awards should not be reviewed</w:t>
      </w:r>
      <w:r w:rsidR="00140F78" w:rsidRPr="00617A78">
        <w:rPr>
          <w:rFonts w:ascii="Times New Roman" w:hAnsi="Times New Roman" w:cs="Times New Roman"/>
        </w:rPr>
        <w:t xml:space="preserve"> for ‘error in interpretation,</w:t>
      </w:r>
      <w:r w:rsidRPr="00617A78">
        <w:rPr>
          <w:rFonts w:ascii="Times New Roman" w:hAnsi="Times New Roman" w:cs="Times New Roman"/>
        </w:rPr>
        <w:t>’”</w:t>
      </w:r>
      <w:r w:rsidRPr="00617A78">
        <w:rPr>
          <w:rStyle w:val="FootnoteReference"/>
          <w:rFonts w:ascii="Times New Roman" w:hAnsi="Times New Roman" w:cs="Times New Roman"/>
        </w:rPr>
        <w:footnoteReference w:id="52"/>
      </w:r>
      <w:r w:rsidRPr="00617A78">
        <w:rPr>
          <w:rFonts w:ascii="Times New Roman" w:hAnsi="Times New Roman" w:cs="Times New Roman"/>
        </w:rPr>
        <w:t xml:space="preserve"> which may indicate why this approach is the least frequently used.</w:t>
      </w:r>
      <w:r w:rsidRPr="00617A78">
        <w:rPr>
          <w:rStyle w:val="FootnoteReference"/>
          <w:rFonts w:ascii="Times New Roman" w:hAnsi="Times New Roman" w:cs="Times New Roman"/>
        </w:rPr>
        <w:footnoteReference w:id="53"/>
      </w:r>
    </w:p>
    <w:p w14:paraId="2B5F398B" w14:textId="77777777" w:rsidR="004E77D6" w:rsidRPr="00617A78" w:rsidRDefault="004E77D6" w:rsidP="004E77D6">
      <w:pPr>
        <w:widowControl w:val="0"/>
        <w:ind w:firstLine="720"/>
        <w:jc w:val="both"/>
        <w:rPr>
          <w:rFonts w:ascii="Times New Roman" w:hAnsi="Times New Roman" w:cs="Times New Roman"/>
        </w:rPr>
      </w:pPr>
    </w:p>
    <w:p w14:paraId="0CD4F670" w14:textId="007C918F" w:rsidR="0097652B" w:rsidRDefault="00865FB6" w:rsidP="004E77D6">
      <w:pPr>
        <w:widowControl w:val="0"/>
        <w:ind w:firstLine="720"/>
        <w:jc w:val="both"/>
        <w:rPr>
          <w:rFonts w:ascii="Times New Roman" w:hAnsi="Times New Roman" w:cs="Times New Roman"/>
        </w:rPr>
      </w:pPr>
      <w:r w:rsidRPr="00617A78">
        <w:rPr>
          <w:rFonts w:ascii="Times New Roman" w:hAnsi="Times New Roman" w:cs="Times New Roman"/>
        </w:rPr>
        <w:t xml:space="preserve">The third approach, </w:t>
      </w:r>
      <w:r w:rsidR="00156357">
        <w:rPr>
          <w:rFonts w:ascii="Times New Roman" w:hAnsi="Times New Roman" w:cs="Times New Roman"/>
        </w:rPr>
        <w:t xml:space="preserve">the </w:t>
      </w:r>
      <w:r w:rsidRPr="00617A78">
        <w:rPr>
          <w:rFonts w:ascii="Times New Roman" w:hAnsi="Times New Roman" w:cs="Times New Roman"/>
        </w:rPr>
        <w:t xml:space="preserve">“presumption-based” approach, falls between the first two approaches, and can be understood as somewhat of a middle ground. Under this approach, courts review “the record of the arbitration proceedings and will overturn the award if something in that </w:t>
      </w:r>
      <w:r w:rsidRPr="00617A78">
        <w:rPr>
          <w:rFonts w:ascii="Times New Roman" w:hAnsi="Times New Roman" w:cs="Times New Roman"/>
        </w:rPr>
        <w:lastRenderedPageBreak/>
        <w:t>record creates a presumption that the arbitrator ignored known, applicable law.”</w:t>
      </w:r>
      <w:r w:rsidRPr="00617A78">
        <w:rPr>
          <w:rStyle w:val="FootnoteReference"/>
          <w:rFonts w:ascii="Times New Roman" w:hAnsi="Times New Roman" w:cs="Times New Roman"/>
        </w:rPr>
        <w:footnoteReference w:id="54"/>
      </w:r>
      <w:r w:rsidRPr="00617A78">
        <w:rPr>
          <w:rFonts w:ascii="Times New Roman" w:hAnsi="Times New Roman" w:cs="Times New Roman"/>
        </w:rPr>
        <w:t xml:space="preserve"> For example, in </w:t>
      </w:r>
      <w:r w:rsidRPr="00617A78">
        <w:rPr>
          <w:rFonts w:ascii="Times New Roman" w:hAnsi="Times New Roman" w:cs="Times New Roman"/>
          <w:i/>
        </w:rPr>
        <w:t>Montes v. Shearson Lehman Bros., Inc.</w:t>
      </w:r>
      <w:r w:rsidRPr="00617A78">
        <w:rPr>
          <w:rFonts w:ascii="Times New Roman" w:hAnsi="Times New Roman" w:cs="Times New Roman"/>
        </w:rPr>
        <w:t>,</w:t>
      </w:r>
      <w:r w:rsidRPr="00617A78">
        <w:rPr>
          <w:rStyle w:val="FootnoteReference"/>
          <w:rFonts w:ascii="Times New Roman" w:hAnsi="Times New Roman" w:cs="Times New Roman"/>
        </w:rPr>
        <w:footnoteReference w:id="55"/>
      </w:r>
      <w:r w:rsidRPr="00617A78">
        <w:rPr>
          <w:rFonts w:ascii="Times New Roman" w:hAnsi="Times New Roman" w:cs="Times New Roman"/>
        </w:rPr>
        <w:t xml:space="preserve"> the Eleventh Circuit overturned an arbitral award on the ground that the arbitrator manifestly disregarded the law.</w:t>
      </w:r>
      <w:r w:rsidRPr="00617A78">
        <w:rPr>
          <w:rStyle w:val="FootnoteReference"/>
          <w:rFonts w:ascii="Times New Roman" w:hAnsi="Times New Roman" w:cs="Times New Roman"/>
        </w:rPr>
        <w:footnoteReference w:id="56"/>
      </w:r>
      <w:r w:rsidRPr="00617A78">
        <w:rPr>
          <w:rFonts w:ascii="Times New Roman" w:hAnsi="Times New Roman" w:cs="Times New Roman"/>
        </w:rPr>
        <w:t xml:space="preserve"> In making this determination, the court examined the arbitral award (there was no written opinion), and noted that the panel was “flagrantly and blatantly urged” by the prevailing party to ignore known applicable law.</w:t>
      </w:r>
      <w:r w:rsidRPr="00617A78">
        <w:rPr>
          <w:rStyle w:val="FootnoteReference"/>
          <w:rFonts w:ascii="Times New Roman" w:hAnsi="Times New Roman" w:cs="Times New Roman"/>
        </w:rPr>
        <w:footnoteReference w:id="57"/>
      </w:r>
      <w:r w:rsidRPr="00617A78">
        <w:rPr>
          <w:rFonts w:ascii="Times New Roman" w:hAnsi="Times New Roman" w:cs="Times New Roman"/>
        </w:rPr>
        <w:t xml:space="preserve"> According to </w:t>
      </w:r>
      <w:proofErr w:type="spellStart"/>
      <w:r w:rsidRPr="00617A78">
        <w:rPr>
          <w:rFonts w:ascii="Times New Roman" w:hAnsi="Times New Roman" w:cs="Times New Roman"/>
        </w:rPr>
        <w:t>Hayford</w:t>
      </w:r>
      <w:proofErr w:type="spellEnd"/>
      <w:r w:rsidRPr="00617A78">
        <w:rPr>
          <w:rFonts w:ascii="Times New Roman" w:hAnsi="Times New Roman" w:cs="Times New Roman"/>
        </w:rPr>
        <w:t>, during arbitration the prevailing party asserted “that the controlling law was ‘not right,’” and repeatedly exhorted “to the arbitration panel that they should do what was right, even if it produced an outcome inconsistent with the pertinent law.”</w:t>
      </w:r>
      <w:r w:rsidRPr="00617A78">
        <w:rPr>
          <w:rStyle w:val="FootnoteReference"/>
          <w:rFonts w:ascii="Times New Roman" w:hAnsi="Times New Roman" w:cs="Times New Roman"/>
        </w:rPr>
        <w:footnoteReference w:id="58"/>
      </w:r>
      <w:r w:rsidRPr="00617A78">
        <w:rPr>
          <w:rFonts w:ascii="Times New Roman" w:hAnsi="Times New Roman" w:cs="Times New Roman"/>
        </w:rPr>
        <w:t xml:space="preserve"> The court found that this, coupled with the fact that  “nothing in the award or elsewhere in the record” suggested that the arbitrator “did not heed” the prevailing party’s plea,</w:t>
      </w:r>
      <w:r w:rsidRPr="00617A78">
        <w:rPr>
          <w:rStyle w:val="FootnoteReference"/>
          <w:rFonts w:ascii="Times New Roman" w:hAnsi="Times New Roman" w:cs="Times New Roman"/>
        </w:rPr>
        <w:footnoteReference w:id="59"/>
      </w:r>
      <w:r w:rsidRPr="00617A78">
        <w:rPr>
          <w:rFonts w:ascii="Times New Roman" w:hAnsi="Times New Roman" w:cs="Times New Roman"/>
        </w:rPr>
        <w:t xml:space="preserve"> indicated that the arbitrator knew the law but consciously ignored it. As the </w:t>
      </w:r>
      <w:r w:rsidR="001A50BD" w:rsidRPr="00617A78">
        <w:rPr>
          <w:rFonts w:ascii="Times New Roman" w:hAnsi="Times New Roman" w:cs="Times New Roman"/>
        </w:rPr>
        <w:t>Eleventh</w:t>
      </w:r>
      <w:r w:rsidRPr="00617A78">
        <w:rPr>
          <w:rFonts w:ascii="Times New Roman" w:hAnsi="Times New Roman" w:cs="Times New Roman"/>
        </w:rPr>
        <w:t xml:space="preserve"> Circuit’s </w:t>
      </w:r>
      <w:r w:rsidR="00EF2851" w:rsidRPr="00617A78">
        <w:rPr>
          <w:rFonts w:ascii="Times New Roman" w:hAnsi="Times New Roman" w:cs="Times New Roman"/>
        </w:rPr>
        <w:t>decision</w:t>
      </w:r>
      <w:r w:rsidRPr="00617A78">
        <w:rPr>
          <w:rFonts w:ascii="Times New Roman" w:hAnsi="Times New Roman" w:cs="Times New Roman"/>
        </w:rPr>
        <w:t xml:space="preserve"> </w:t>
      </w:r>
      <w:r w:rsidR="00EF2851" w:rsidRPr="00617A78">
        <w:rPr>
          <w:rFonts w:ascii="Times New Roman" w:hAnsi="Times New Roman" w:cs="Times New Roman"/>
        </w:rPr>
        <w:t>illustrates</w:t>
      </w:r>
      <w:r w:rsidRPr="00617A78">
        <w:rPr>
          <w:rFonts w:ascii="Times New Roman" w:hAnsi="Times New Roman" w:cs="Times New Roman"/>
        </w:rPr>
        <w:t xml:space="preserve">, </w:t>
      </w:r>
      <w:r w:rsidR="00EF2851" w:rsidRPr="00617A78">
        <w:rPr>
          <w:rFonts w:ascii="Times New Roman" w:hAnsi="Times New Roman" w:cs="Times New Roman"/>
        </w:rPr>
        <w:t xml:space="preserve">the </w:t>
      </w:r>
      <w:r w:rsidRPr="00617A78">
        <w:rPr>
          <w:rFonts w:ascii="Times New Roman" w:hAnsi="Times New Roman" w:cs="Times New Roman"/>
        </w:rPr>
        <w:t xml:space="preserve">“presumption-based” approach </w:t>
      </w:r>
      <w:r w:rsidR="00EF2851" w:rsidRPr="00617A78">
        <w:rPr>
          <w:rFonts w:ascii="Times New Roman" w:hAnsi="Times New Roman" w:cs="Times New Roman"/>
        </w:rPr>
        <w:t>does require a degree proof that the arbitrator</w:t>
      </w:r>
      <w:r w:rsidR="00187F64" w:rsidRPr="00617A78">
        <w:rPr>
          <w:rFonts w:ascii="Times New Roman" w:hAnsi="Times New Roman" w:cs="Times New Roman"/>
        </w:rPr>
        <w:t xml:space="preserve"> knew the law and ignored it, but “direct proof that the arbitrator made a conscious decision to ignore the law” is not a necessary </w:t>
      </w:r>
      <w:r w:rsidR="00236D32" w:rsidRPr="00617A78">
        <w:rPr>
          <w:rFonts w:ascii="Times New Roman" w:hAnsi="Times New Roman" w:cs="Times New Roman"/>
        </w:rPr>
        <w:t>prerequisite</w:t>
      </w:r>
      <w:r w:rsidR="00187F64" w:rsidRPr="00617A78">
        <w:rPr>
          <w:rFonts w:ascii="Times New Roman" w:hAnsi="Times New Roman" w:cs="Times New Roman"/>
        </w:rPr>
        <w:t xml:space="preserve"> for </w:t>
      </w:r>
      <w:proofErr w:type="spellStart"/>
      <w:r w:rsidR="00187F64" w:rsidRPr="00617A78">
        <w:rPr>
          <w:rFonts w:ascii="Times New Roman" w:hAnsi="Times New Roman" w:cs="Times New Roman"/>
        </w:rPr>
        <w:t>vacatur</w:t>
      </w:r>
      <w:proofErr w:type="spellEnd"/>
      <w:r w:rsidR="00187F64" w:rsidRPr="00617A78">
        <w:rPr>
          <w:rFonts w:ascii="Times New Roman" w:hAnsi="Times New Roman" w:cs="Times New Roman"/>
        </w:rPr>
        <w:t>.</w:t>
      </w:r>
      <w:r w:rsidR="00187F64" w:rsidRPr="00617A78">
        <w:rPr>
          <w:rStyle w:val="FootnoteReference"/>
          <w:rFonts w:ascii="Times New Roman" w:hAnsi="Times New Roman" w:cs="Times New Roman"/>
        </w:rPr>
        <w:footnoteReference w:id="60"/>
      </w:r>
      <w:r w:rsidR="00187F64" w:rsidRPr="00617A78">
        <w:rPr>
          <w:rFonts w:ascii="Times New Roman" w:hAnsi="Times New Roman" w:cs="Times New Roman"/>
        </w:rPr>
        <w:t xml:space="preserve"> </w:t>
      </w:r>
    </w:p>
    <w:p w14:paraId="7F2F546C" w14:textId="77777777" w:rsidR="004E77D6" w:rsidRPr="00617A78" w:rsidRDefault="004E77D6" w:rsidP="004E77D6">
      <w:pPr>
        <w:widowControl w:val="0"/>
        <w:ind w:firstLine="720"/>
        <w:jc w:val="both"/>
        <w:rPr>
          <w:rFonts w:ascii="Times New Roman" w:hAnsi="Times New Roman" w:cs="Times New Roman"/>
        </w:rPr>
      </w:pPr>
    </w:p>
    <w:p w14:paraId="51636EF7" w14:textId="163B7A40" w:rsidR="00236D32" w:rsidRDefault="007C587F" w:rsidP="004E77D6">
      <w:pPr>
        <w:widowControl w:val="0"/>
        <w:ind w:firstLine="720"/>
        <w:jc w:val="both"/>
        <w:rPr>
          <w:rFonts w:ascii="Times New Roman" w:hAnsi="Times New Roman" w:cs="Times New Roman"/>
        </w:rPr>
      </w:pPr>
      <w:r w:rsidRPr="00617A78">
        <w:rPr>
          <w:rFonts w:ascii="Times New Roman" w:hAnsi="Times New Roman" w:cs="Times New Roman"/>
        </w:rPr>
        <w:t>As the above illustrates, the precise standard utiliz</w:t>
      </w:r>
      <w:r w:rsidR="00236D32" w:rsidRPr="00617A78">
        <w:rPr>
          <w:rFonts w:ascii="Times New Roman" w:hAnsi="Times New Roman" w:cs="Times New Roman"/>
        </w:rPr>
        <w:t>ed by Circuit C</w:t>
      </w:r>
      <w:r w:rsidRPr="00617A78">
        <w:rPr>
          <w:rFonts w:ascii="Times New Roman" w:hAnsi="Times New Roman" w:cs="Times New Roman"/>
        </w:rPr>
        <w:t xml:space="preserve">ourts following </w:t>
      </w:r>
      <w:proofErr w:type="spellStart"/>
      <w:r w:rsidRPr="00617A78">
        <w:rPr>
          <w:rFonts w:ascii="Times New Roman" w:hAnsi="Times New Roman" w:cs="Times New Roman"/>
          <w:i/>
        </w:rPr>
        <w:t>Wilko</w:t>
      </w:r>
      <w:proofErr w:type="spellEnd"/>
      <w:r w:rsidRPr="00617A78">
        <w:rPr>
          <w:rFonts w:ascii="Times New Roman" w:hAnsi="Times New Roman" w:cs="Times New Roman"/>
          <w:i/>
        </w:rPr>
        <w:t xml:space="preserve"> </w:t>
      </w:r>
      <w:r w:rsidRPr="00617A78">
        <w:rPr>
          <w:rFonts w:ascii="Times New Roman" w:hAnsi="Times New Roman" w:cs="Times New Roman"/>
        </w:rPr>
        <w:t>varied from circuit to circuit.</w:t>
      </w:r>
      <w:r w:rsidRPr="00617A78">
        <w:rPr>
          <w:rStyle w:val="FootnoteReference"/>
          <w:rFonts w:ascii="Times New Roman" w:hAnsi="Times New Roman" w:cs="Times New Roman"/>
        </w:rPr>
        <w:footnoteReference w:id="61"/>
      </w:r>
      <w:r w:rsidRPr="00617A78">
        <w:rPr>
          <w:rFonts w:ascii="Times New Roman" w:hAnsi="Times New Roman" w:cs="Times New Roman"/>
        </w:rPr>
        <w:t xml:space="preserve"> According to </w:t>
      </w:r>
      <w:r w:rsidR="00521B37" w:rsidRPr="00617A78">
        <w:rPr>
          <w:rFonts w:ascii="Times New Roman" w:hAnsi="Times New Roman" w:cs="Times New Roman"/>
        </w:rPr>
        <w:t xml:space="preserve">Weathers </w:t>
      </w:r>
      <w:r w:rsidRPr="00617A78">
        <w:rPr>
          <w:rFonts w:ascii="Times New Roman" w:hAnsi="Times New Roman" w:cs="Times New Roman"/>
        </w:rPr>
        <w:t xml:space="preserve">Bolt, however, most circuits generally agreed (with the </w:t>
      </w:r>
      <w:r w:rsidRPr="00617A78">
        <w:rPr>
          <w:rFonts w:ascii="Times New Roman" w:hAnsi="Times New Roman" w:cs="Times New Roman"/>
        </w:rPr>
        <w:lastRenderedPageBreak/>
        <w:t>exception of the Seventh Circuit</w:t>
      </w:r>
      <w:bookmarkStart w:id="10" w:name="_Ref355710258"/>
      <w:r w:rsidR="00847A69" w:rsidRPr="00617A78">
        <w:rPr>
          <w:rStyle w:val="FootnoteReference"/>
          <w:rFonts w:ascii="Times New Roman" w:hAnsi="Times New Roman" w:cs="Times New Roman"/>
        </w:rPr>
        <w:footnoteReference w:id="62"/>
      </w:r>
      <w:bookmarkEnd w:id="10"/>
      <w:r w:rsidRPr="00617A78">
        <w:rPr>
          <w:rFonts w:ascii="Times New Roman" w:hAnsi="Times New Roman" w:cs="Times New Roman"/>
        </w:rPr>
        <w:t>) that succe</w:t>
      </w:r>
      <w:r w:rsidR="007C2B2D">
        <w:rPr>
          <w:rFonts w:ascii="Times New Roman" w:hAnsi="Times New Roman" w:cs="Times New Roman"/>
        </w:rPr>
        <w:t>ssful use of manifest disregard</w:t>
      </w:r>
      <w:r w:rsidRPr="00617A78">
        <w:rPr>
          <w:rFonts w:ascii="Times New Roman" w:hAnsi="Times New Roman" w:cs="Times New Roman"/>
        </w:rPr>
        <w:t xml:space="preserve"> as a ground </w:t>
      </w:r>
      <w:r w:rsidR="00AE69EA" w:rsidRPr="00617A78">
        <w:rPr>
          <w:rFonts w:ascii="Times New Roman" w:hAnsi="Times New Roman" w:cs="Times New Roman"/>
        </w:rPr>
        <w:t xml:space="preserve">for judicial review and </w:t>
      </w:r>
      <w:proofErr w:type="spellStart"/>
      <w:r w:rsidR="00AE69EA" w:rsidRPr="00617A78">
        <w:rPr>
          <w:rFonts w:ascii="Times New Roman" w:hAnsi="Times New Roman" w:cs="Times New Roman"/>
        </w:rPr>
        <w:t>vacatur</w:t>
      </w:r>
      <w:proofErr w:type="spellEnd"/>
      <w:r w:rsidRPr="00617A78">
        <w:rPr>
          <w:rFonts w:ascii="Times New Roman" w:hAnsi="Times New Roman" w:cs="Times New Roman"/>
        </w:rPr>
        <w:t xml:space="preserve"> after </w:t>
      </w:r>
      <w:proofErr w:type="spellStart"/>
      <w:r w:rsidRPr="00617A78">
        <w:rPr>
          <w:rFonts w:ascii="Times New Roman" w:hAnsi="Times New Roman" w:cs="Times New Roman"/>
          <w:i/>
        </w:rPr>
        <w:t>Wilko</w:t>
      </w:r>
      <w:proofErr w:type="spellEnd"/>
      <w:r w:rsidRPr="00617A78">
        <w:rPr>
          <w:rFonts w:ascii="Times New Roman" w:hAnsi="Times New Roman" w:cs="Times New Roman"/>
          <w:i/>
        </w:rPr>
        <w:t xml:space="preserve"> </w:t>
      </w:r>
      <w:r w:rsidRPr="00617A78">
        <w:rPr>
          <w:rFonts w:ascii="Times New Roman" w:hAnsi="Times New Roman" w:cs="Times New Roman"/>
        </w:rPr>
        <w:t xml:space="preserve">(but before </w:t>
      </w:r>
      <w:r w:rsidRPr="00617A78">
        <w:rPr>
          <w:rFonts w:ascii="Times New Roman" w:hAnsi="Times New Roman" w:cs="Times New Roman"/>
          <w:i/>
        </w:rPr>
        <w:t>Hall Street</w:t>
      </w:r>
      <w:r w:rsidRPr="00617A78">
        <w:rPr>
          <w:rFonts w:ascii="Times New Roman" w:hAnsi="Times New Roman" w:cs="Times New Roman"/>
        </w:rPr>
        <w:t>) required:</w:t>
      </w:r>
      <w:r w:rsidR="00521B37" w:rsidRPr="00617A78">
        <w:rPr>
          <w:rStyle w:val="FootnoteReference"/>
          <w:rFonts w:ascii="Times New Roman" w:hAnsi="Times New Roman" w:cs="Times New Roman"/>
        </w:rPr>
        <w:footnoteReference w:id="63"/>
      </w:r>
      <w:r w:rsidRPr="00617A78">
        <w:rPr>
          <w:rFonts w:ascii="Times New Roman" w:hAnsi="Times New Roman" w:cs="Times New Roman"/>
        </w:rPr>
        <w:t xml:space="preserve"> “[1] the arbitrator or arbitrators knew the law and [2] deliberately failed to apply the applicable law.”</w:t>
      </w:r>
      <w:r w:rsidRPr="00617A78">
        <w:rPr>
          <w:rStyle w:val="FootnoteReference"/>
          <w:rFonts w:ascii="Times New Roman" w:hAnsi="Times New Roman" w:cs="Times New Roman"/>
        </w:rPr>
        <w:footnoteReference w:id="64"/>
      </w:r>
      <w:r w:rsidRPr="00617A78">
        <w:rPr>
          <w:rFonts w:ascii="Times New Roman" w:hAnsi="Times New Roman" w:cs="Times New Roman"/>
        </w:rPr>
        <w:t xml:space="preserve"> Bolt also notes, and </w:t>
      </w:r>
      <w:r w:rsidR="00847A69" w:rsidRPr="00617A78">
        <w:rPr>
          <w:rFonts w:ascii="Times New Roman" w:hAnsi="Times New Roman" w:cs="Times New Roman"/>
        </w:rPr>
        <w:t>Jill</w:t>
      </w:r>
      <w:r w:rsidRPr="00617A78">
        <w:rPr>
          <w:rFonts w:ascii="Times New Roman" w:hAnsi="Times New Roman" w:cs="Times New Roman"/>
        </w:rPr>
        <w:t xml:space="preserve"> Gross confirms,</w:t>
      </w:r>
      <w:r w:rsidRPr="00617A78">
        <w:rPr>
          <w:rStyle w:val="FootnoteReference"/>
          <w:rFonts w:ascii="Times New Roman" w:hAnsi="Times New Roman" w:cs="Times New Roman"/>
        </w:rPr>
        <w:footnoteReference w:id="65"/>
      </w:r>
      <w:r w:rsidRPr="00617A78">
        <w:rPr>
          <w:rFonts w:ascii="Times New Roman" w:hAnsi="Times New Roman" w:cs="Times New Roman"/>
        </w:rPr>
        <w:t xml:space="preserve"> that many circuits “also required that the law be clearly applicable to the situation at bar.”</w:t>
      </w:r>
      <w:r w:rsidRPr="00617A78">
        <w:rPr>
          <w:rStyle w:val="FootnoteReference"/>
          <w:rFonts w:ascii="Times New Roman" w:hAnsi="Times New Roman" w:cs="Times New Roman"/>
        </w:rPr>
        <w:footnoteReference w:id="66"/>
      </w:r>
      <w:r w:rsidRPr="00617A78">
        <w:rPr>
          <w:rFonts w:ascii="Times New Roman" w:hAnsi="Times New Roman" w:cs="Times New Roman"/>
        </w:rPr>
        <w:t xml:space="preserve"> </w:t>
      </w:r>
    </w:p>
    <w:p w14:paraId="55C6A5A6" w14:textId="77777777" w:rsidR="004E77D6" w:rsidRPr="00617A78" w:rsidRDefault="004E77D6" w:rsidP="004E77D6">
      <w:pPr>
        <w:widowControl w:val="0"/>
        <w:ind w:firstLine="720"/>
        <w:jc w:val="both"/>
        <w:rPr>
          <w:rFonts w:ascii="Times New Roman" w:hAnsi="Times New Roman" w:cs="Times New Roman"/>
        </w:rPr>
      </w:pPr>
    </w:p>
    <w:p w14:paraId="36AF9D10" w14:textId="77777777" w:rsidR="007C587F" w:rsidRPr="00617A78" w:rsidRDefault="007C587F" w:rsidP="004E77D6">
      <w:pPr>
        <w:pStyle w:val="ListParagraph"/>
        <w:widowControl w:val="0"/>
        <w:numPr>
          <w:ilvl w:val="1"/>
          <w:numId w:val="1"/>
        </w:numPr>
        <w:rPr>
          <w:rFonts w:ascii="Times New Roman" w:hAnsi="Times New Roman" w:cs="Times New Roman"/>
          <w:i/>
          <w:u w:val="single"/>
        </w:rPr>
      </w:pPr>
      <w:r w:rsidRPr="00617A78">
        <w:rPr>
          <w:rFonts w:ascii="Times New Roman" w:hAnsi="Times New Roman" w:cs="Times New Roman"/>
          <w:i/>
          <w:u w:val="single"/>
        </w:rPr>
        <w:t xml:space="preserve">Hall Street </w:t>
      </w:r>
    </w:p>
    <w:p w14:paraId="0A294D27" w14:textId="77777777" w:rsidR="007C587F" w:rsidRPr="00617A78" w:rsidRDefault="007C587F" w:rsidP="004E77D6">
      <w:pPr>
        <w:widowControl w:val="0"/>
        <w:rPr>
          <w:rFonts w:ascii="Times New Roman" w:hAnsi="Times New Roman" w:cs="Times New Roman"/>
        </w:rPr>
      </w:pPr>
    </w:p>
    <w:p w14:paraId="1AFBB470" w14:textId="037F7A2E" w:rsidR="007C587F" w:rsidRDefault="007C587F" w:rsidP="004E77D6">
      <w:pPr>
        <w:widowControl w:val="0"/>
        <w:ind w:firstLine="720"/>
        <w:jc w:val="both"/>
        <w:rPr>
          <w:rFonts w:ascii="Times New Roman" w:hAnsi="Times New Roman" w:cs="Times New Roman"/>
        </w:rPr>
      </w:pPr>
      <w:r w:rsidRPr="00617A78">
        <w:rPr>
          <w:rFonts w:ascii="Times New Roman" w:hAnsi="Times New Roman" w:cs="Times New Roman"/>
        </w:rPr>
        <w:t xml:space="preserve">After more than fifty years since the Court’s decision in </w:t>
      </w:r>
      <w:proofErr w:type="spellStart"/>
      <w:r w:rsidRPr="00617A78">
        <w:rPr>
          <w:rFonts w:ascii="Times New Roman" w:hAnsi="Times New Roman" w:cs="Times New Roman"/>
          <w:i/>
        </w:rPr>
        <w:t>Wilko</w:t>
      </w:r>
      <w:proofErr w:type="spellEnd"/>
      <w:r w:rsidRPr="00617A78">
        <w:rPr>
          <w:rFonts w:ascii="Times New Roman" w:hAnsi="Times New Roman" w:cs="Times New Roman"/>
        </w:rPr>
        <w:t xml:space="preserve">, the Supreme Court decided the case of </w:t>
      </w:r>
      <w:r w:rsidRPr="00617A78">
        <w:rPr>
          <w:rFonts w:ascii="Times New Roman" w:hAnsi="Times New Roman" w:cs="Times New Roman"/>
          <w:i/>
        </w:rPr>
        <w:t>Hall Street Assocs. L.L.C. v. Mattel, Inc.</w:t>
      </w:r>
      <w:r w:rsidR="007E1BFE" w:rsidRPr="00617A78">
        <w:rPr>
          <w:rFonts w:ascii="Times New Roman" w:hAnsi="Times New Roman" w:cs="Times New Roman"/>
        </w:rPr>
        <w:t>,</w:t>
      </w:r>
      <w:r w:rsidRPr="00617A78">
        <w:rPr>
          <w:rStyle w:val="FootnoteReference"/>
          <w:rFonts w:ascii="Times New Roman" w:hAnsi="Times New Roman" w:cs="Times New Roman"/>
        </w:rPr>
        <w:footnoteReference w:id="67"/>
      </w:r>
      <w:r w:rsidR="007E1BFE" w:rsidRPr="00617A78">
        <w:rPr>
          <w:rFonts w:ascii="Times New Roman" w:hAnsi="Times New Roman" w:cs="Times New Roman"/>
          <w:i/>
        </w:rPr>
        <w:t xml:space="preserve"> </w:t>
      </w:r>
      <w:r w:rsidR="007E1BFE" w:rsidRPr="00617A78">
        <w:rPr>
          <w:rFonts w:ascii="Times New Roman" w:hAnsi="Times New Roman" w:cs="Times New Roman"/>
        </w:rPr>
        <w:t>which has raised</w:t>
      </w:r>
      <w:r w:rsidRPr="00617A78">
        <w:rPr>
          <w:rFonts w:ascii="Times New Roman" w:hAnsi="Times New Roman" w:cs="Times New Roman"/>
        </w:rPr>
        <w:t xml:space="preserve"> </w:t>
      </w:r>
      <w:r w:rsidR="007E1BFE" w:rsidRPr="00617A78">
        <w:rPr>
          <w:rFonts w:ascii="Times New Roman" w:hAnsi="Times New Roman" w:cs="Times New Roman"/>
        </w:rPr>
        <w:t>many questions and concerns r</w:t>
      </w:r>
      <w:r w:rsidRPr="00617A78">
        <w:rPr>
          <w:rFonts w:ascii="Times New Roman" w:hAnsi="Times New Roman" w:cs="Times New Roman"/>
        </w:rPr>
        <w:t xml:space="preserve">egarding the </w:t>
      </w:r>
      <w:r w:rsidR="007E1BFE" w:rsidRPr="00617A78">
        <w:rPr>
          <w:rFonts w:ascii="Times New Roman" w:hAnsi="Times New Roman" w:cs="Times New Roman"/>
        </w:rPr>
        <w:t xml:space="preserve">continuing </w:t>
      </w:r>
      <w:r w:rsidRPr="00617A78">
        <w:rPr>
          <w:rFonts w:ascii="Times New Roman" w:hAnsi="Times New Roman" w:cs="Times New Roman"/>
        </w:rPr>
        <w:t>viability of</w:t>
      </w:r>
      <w:r w:rsidR="007E1BFE" w:rsidRPr="00617A78">
        <w:rPr>
          <w:rFonts w:ascii="Times New Roman" w:hAnsi="Times New Roman" w:cs="Times New Roman"/>
        </w:rPr>
        <w:t xml:space="preserve"> the doctrine of</w:t>
      </w:r>
      <w:r w:rsidRPr="00617A78">
        <w:rPr>
          <w:rFonts w:ascii="Times New Roman" w:hAnsi="Times New Roman" w:cs="Times New Roman"/>
        </w:rPr>
        <w:t xml:space="preserve"> </w:t>
      </w:r>
      <w:r w:rsidR="007E1BFE" w:rsidRPr="00617A78">
        <w:rPr>
          <w:rFonts w:ascii="Times New Roman" w:hAnsi="Times New Roman" w:cs="Times New Roman"/>
        </w:rPr>
        <w:t>manifest</w:t>
      </w:r>
      <w:r w:rsidRPr="00617A78">
        <w:rPr>
          <w:rFonts w:ascii="Times New Roman" w:hAnsi="Times New Roman" w:cs="Times New Roman"/>
        </w:rPr>
        <w:t xml:space="preserve"> disregard.</w:t>
      </w:r>
      <w:r w:rsidRPr="00617A78">
        <w:rPr>
          <w:rStyle w:val="FootnoteReference"/>
          <w:rFonts w:ascii="Times New Roman" w:hAnsi="Times New Roman" w:cs="Times New Roman"/>
        </w:rPr>
        <w:footnoteReference w:id="68"/>
      </w:r>
      <w:r w:rsidR="007E1BFE" w:rsidRPr="00617A78">
        <w:rPr>
          <w:rFonts w:ascii="Times New Roman" w:hAnsi="Times New Roman" w:cs="Times New Roman"/>
        </w:rPr>
        <w:t xml:space="preserve"> </w:t>
      </w:r>
      <w:r w:rsidRPr="00617A78">
        <w:rPr>
          <w:rFonts w:ascii="Times New Roman" w:hAnsi="Times New Roman" w:cs="Times New Roman"/>
        </w:rPr>
        <w:t xml:space="preserve">In </w:t>
      </w:r>
      <w:r w:rsidRPr="00617A78">
        <w:rPr>
          <w:rFonts w:ascii="Times New Roman" w:hAnsi="Times New Roman" w:cs="Times New Roman"/>
          <w:i/>
        </w:rPr>
        <w:t>Hall Street</w:t>
      </w:r>
      <w:r w:rsidR="00B72A31">
        <w:rPr>
          <w:rFonts w:ascii="Times New Roman" w:hAnsi="Times New Roman" w:cs="Times New Roman"/>
        </w:rPr>
        <w:t>,</w:t>
      </w:r>
      <w:r w:rsidR="007E1BFE" w:rsidRPr="00617A78">
        <w:rPr>
          <w:rFonts w:ascii="Times New Roman" w:hAnsi="Times New Roman" w:cs="Times New Roman"/>
        </w:rPr>
        <w:t xml:space="preserve"> the Supreme Court addressed (in dicta)</w:t>
      </w:r>
      <w:r w:rsidRPr="00617A78">
        <w:rPr>
          <w:rFonts w:ascii="Times New Roman" w:hAnsi="Times New Roman" w:cs="Times New Roman"/>
        </w:rPr>
        <w:t xml:space="preserve"> the ambiguities associated with </w:t>
      </w:r>
      <w:proofErr w:type="spellStart"/>
      <w:r w:rsidRPr="00617A78">
        <w:rPr>
          <w:rFonts w:ascii="Times New Roman" w:hAnsi="Times New Roman" w:cs="Times New Roman"/>
          <w:i/>
        </w:rPr>
        <w:t>Wilko’s</w:t>
      </w:r>
      <w:proofErr w:type="spellEnd"/>
      <w:r w:rsidRPr="00617A78">
        <w:rPr>
          <w:rFonts w:ascii="Times New Roman" w:hAnsi="Times New Roman" w:cs="Times New Roman"/>
          <w:i/>
        </w:rPr>
        <w:t xml:space="preserve"> </w:t>
      </w:r>
      <w:r w:rsidRPr="00617A78">
        <w:rPr>
          <w:rFonts w:ascii="Times New Roman" w:hAnsi="Times New Roman" w:cs="Times New Roman"/>
        </w:rPr>
        <w:t>comments regarding the scope of judicial review of arbitral awards. The issue before the Court was “whether the parties to an arbitration agreement could validly agree to expand the ground</w:t>
      </w:r>
      <w:r w:rsidR="007C2B2D">
        <w:rPr>
          <w:rFonts w:ascii="Times New Roman" w:hAnsi="Times New Roman" w:cs="Times New Roman"/>
        </w:rPr>
        <w:t>s</w:t>
      </w:r>
      <w:r w:rsidRPr="00617A78">
        <w:rPr>
          <w:rFonts w:ascii="Times New Roman" w:hAnsi="Times New Roman" w:cs="Times New Roman"/>
        </w:rPr>
        <w:t xml:space="preserve"> prescribed in § 10 and § 11 of the FAA for vacating or correcting an arbitration award.”</w:t>
      </w:r>
      <w:bookmarkStart w:id="11" w:name="_Ref355711260"/>
      <w:r w:rsidRPr="00617A78">
        <w:rPr>
          <w:rStyle w:val="FootnoteReference"/>
          <w:rFonts w:ascii="Times New Roman" w:hAnsi="Times New Roman" w:cs="Times New Roman"/>
        </w:rPr>
        <w:footnoteReference w:id="69"/>
      </w:r>
      <w:bookmarkEnd w:id="11"/>
      <w:r w:rsidRPr="00617A78">
        <w:rPr>
          <w:rFonts w:ascii="Times New Roman" w:hAnsi="Times New Roman" w:cs="Times New Roman"/>
        </w:rPr>
        <w:t xml:space="preserve">  The Court answered this question in the negative, holding that the ground</w:t>
      </w:r>
      <w:r w:rsidR="003A1E58" w:rsidRPr="00617A78">
        <w:rPr>
          <w:rFonts w:ascii="Times New Roman" w:hAnsi="Times New Roman" w:cs="Times New Roman"/>
        </w:rPr>
        <w:t>s</w:t>
      </w:r>
      <w:r w:rsidRPr="00617A78">
        <w:rPr>
          <w:rFonts w:ascii="Times New Roman" w:hAnsi="Times New Roman" w:cs="Times New Roman"/>
        </w:rPr>
        <w:t xml:space="preserve"> for vacating and modifying an award under the FAA are exclusive.</w:t>
      </w:r>
      <w:bookmarkStart w:id="12" w:name="_Ref355711342"/>
      <w:r w:rsidRPr="00617A78">
        <w:rPr>
          <w:rStyle w:val="FootnoteReference"/>
          <w:rFonts w:ascii="Times New Roman" w:hAnsi="Times New Roman" w:cs="Times New Roman"/>
        </w:rPr>
        <w:footnoteReference w:id="70"/>
      </w:r>
      <w:bookmarkEnd w:id="12"/>
      <w:r w:rsidRPr="00617A78">
        <w:rPr>
          <w:rFonts w:ascii="Times New Roman" w:hAnsi="Times New Roman" w:cs="Times New Roman"/>
        </w:rPr>
        <w:t xml:space="preserve"> </w:t>
      </w:r>
    </w:p>
    <w:p w14:paraId="0560719F" w14:textId="77777777" w:rsidR="00E537A5" w:rsidRPr="00617A78" w:rsidRDefault="00E537A5" w:rsidP="004E77D6">
      <w:pPr>
        <w:widowControl w:val="0"/>
        <w:ind w:firstLine="720"/>
        <w:jc w:val="both"/>
        <w:rPr>
          <w:rFonts w:ascii="Times New Roman" w:hAnsi="Times New Roman" w:cs="Times New Roman"/>
        </w:rPr>
      </w:pPr>
    </w:p>
    <w:p w14:paraId="4545EB1A" w14:textId="3A081AD6" w:rsidR="007C587F" w:rsidRDefault="007C587F" w:rsidP="004E77D6">
      <w:pPr>
        <w:widowControl w:val="0"/>
        <w:ind w:firstLine="720"/>
        <w:jc w:val="both"/>
        <w:rPr>
          <w:rFonts w:ascii="Times New Roman" w:hAnsi="Times New Roman" w:cs="Times New Roman"/>
        </w:rPr>
      </w:pPr>
      <w:r w:rsidRPr="00617A78">
        <w:rPr>
          <w:rFonts w:ascii="Times New Roman" w:hAnsi="Times New Roman" w:cs="Times New Roman"/>
        </w:rPr>
        <w:t>In arguing that grounds set forth in FAA §10 and § 11 were not exclusive (</w:t>
      </w:r>
      <w:r w:rsidRPr="00617A78">
        <w:rPr>
          <w:rFonts w:ascii="Times New Roman" w:hAnsi="Times New Roman" w:cs="Times New Roman"/>
          <w:i/>
        </w:rPr>
        <w:t>i.e.</w:t>
      </w:r>
      <w:r w:rsidR="00B72A31">
        <w:rPr>
          <w:rFonts w:ascii="Times New Roman" w:hAnsi="Times New Roman" w:cs="Times New Roman"/>
        </w:rPr>
        <w:t>, the parties</w:t>
      </w:r>
      <w:r w:rsidRPr="00617A78">
        <w:rPr>
          <w:rFonts w:ascii="Times New Roman" w:hAnsi="Times New Roman" w:cs="Times New Roman"/>
        </w:rPr>
        <w:t xml:space="preserve"> had a right to contractually expand the scope of review of an arbitration award), Hall Street “pointed out that courts have been permitted to expand review beyond section 10 and 11 of the FAA since </w:t>
      </w:r>
      <w:proofErr w:type="spellStart"/>
      <w:r w:rsidRPr="00617A78">
        <w:rPr>
          <w:rFonts w:ascii="Times New Roman" w:hAnsi="Times New Roman" w:cs="Times New Roman"/>
          <w:i/>
        </w:rPr>
        <w:t>Wilko</w:t>
      </w:r>
      <w:proofErr w:type="spellEnd"/>
      <w:r w:rsidRPr="00617A78">
        <w:rPr>
          <w:rFonts w:ascii="Times New Roman" w:hAnsi="Times New Roman" w:cs="Times New Roman"/>
          <w:i/>
        </w:rPr>
        <w:t xml:space="preserve"> </w:t>
      </w:r>
      <w:r w:rsidR="007E1BFE" w:rsidRPr="00617A78">
        <w:rPr>
          <w:rFonts w:ascii="Times New Roman" w:hAnsi="Times New Roman" w:cs="Times New Roman"/>
        </w:rPr>
        <w:t>created manifest disregard.</w:t>
      </w:r>
      <w:r w:rsidRPr="00617A78">
        <w:rPr>
          <w:rFonts w:ascii="Times New Roman" w:hAnsi="Times New Roman" w:cs="Times New Roman"/>
        </w:rPr>
        <w:t>”</w:t>
      </w:r>
      <w:r w:rsidRPr="00617A78">
        <w:rPr>
          <w:rStyle w:val="FootnoteReference"/>
          <w:rFonts w:ascii="Times New Roman" w:hAnsi="Times New Roman" w:cs="Times New Roman"/>
        </w:rPr>
        <w:footnoteReference w:id="71"/>
      </w:r>
      <w:r w:rsidRPr="00617A78">
        <w:rPr>
          <w:rFonts w:ascii="Times New Roman" w:hAnsi="Times New Roman" w:cs="Times New Roman"/>
        </w:rPr>
        <w:t xml:space="preserve"> </w:t>
      </w:r>
      <w:r w:rsidR="007E1BFE" w:rsidRPr="00617A78">
        <w:rPr>
          <w:rFonts w:ascii="Times New Roman" w:hAnsi="Times New Roman" w:cs="Times New Roman"/>
        </w:rPr>
        <w:t xml:space="preserve">Hall Street </w:t>
      </w:r>
      <w:r w:rsidRPr="00617A78">
        <w:rPr>
          <w:rFonts w:ascii="Times New Roman" w:hAnsi="Times New Roman" w:cs="Times New Roman"/>
        </w:rPr>
        <w:t xml:space="preserve">asserted that the Court’s statement in </w:t>
      </w:r>
      <w:proofErr w:type="spellStart"/>
      <w:r w:rsidRPr="00617A78">
        <w:rPr>
          <w:rFonts w:ascii="Times New Roman" w:hAnsi="Times New Roman" w:cs="Times New Roman"/>
          <w:i/>
        </w:rPr>
        <w:t>Wilko</w:t>
      </w:r>
      <w:proofErr w:type="spellEnd"/>
      <w:r w:rsidRPr="00617A78">
        <w:rPr>
          <w:rFonts w:ascii="Times New Roman" w:hAnsi="Times New Roman" w:cs="Times New Roman"/>
        </w:rPr>
        <w:t xml:space="preserve"> “meant that manifest disregard w</w:t>
      </w:r>
      <w:r w:rsidR="0070340F" w:rsidRPr="00617A78">
        <w:rPr>
          <w:rFonts w:ascii="Times New Roman" w:hAnsi="Times New Roman" w:cs="Times New Roman"/>
        </w:rPr>
        <w:t xml:space="preserve">as a further ground for </w:t>
      </w:r>
      <w:proofErr w:type="spellStart"/>
      <w:r w:rsidR="0070340F" w:rsidRPr="00617A78">
        <w:rPr>
          <w:rFonts w:ascii="Times New Roman" w:hAnsi="Times New Roman" w:cs="Times New Roman"/>
        </w:rPr>
        <w:t>vacatur</w:t>
      </w:r>
      <w:proofErr w:type="spellEnd"/>
      <w:r w:rsidRPr="00617A78">
        <w:rPr>
          <w:rFonts w:ascii="Times New Roman" w:hAnsi="Times New Roman" w:cs="Times New Roman"/>
        </w:rPr>
        <w:t xml:space="preserve"> in addition to the ground</w:t>
      </w:r>
      <w:r w:rsidR="007C2B2D">
        <w:rPr>
          <w:rFonts w:ascii="Times New Roman" w:hAnsi="Times New Roman" w:cs="Times New Roman"/>
        </w:rPr>
        <w:t>s</w:t>
      </w:r>
      <w:r w:rsidRPr="00617A78">
        <w:rPr>
          <w:rFonts w:ascii="Times New Roman" w:hAnsi="Times New Roman" w:cs="Times New Roman"/>
        </w:rPr>
        <w:t xml:space="preserve"> listed in section 10,” and th</w:t>
      </w:r>
      <w:r w:rsidR="004B20C5" w:rsidRPr="00617A78">
        <w:rPr>
          <w:rFonts w:ascii="Times New Roman" w:hAnsi="Times New Roman" w:cs="Times New Roman"/>
        </w:rPr>
        <w:t>erefore Supreme Court precedent</w:t>
      </w:r>
      <w:r w:rsidRPr="00617A78">
        <w:rPr>
          <w:rFonts w:ascii="Times New Roman" w:hAnsi="Times New Roman" w:cs="Times New Roman"/>
        </w:rPr>
        <w:t xml:space="preserve"> “</w:t>
      </w:r>
      <w:r w:rsidR="0070340F" w:rsidRPr="00617A78">
        <w:rPr>
          <w:rFonts w:ascii="Times New Roman" w:hAnsi="Times New Roman" w:cs="Times New Roman"/>
        </w:rPr>
        <w:t xml:space="preserve">allowed for </w:t>
      </w:r>
      <w:proofErr w:type="spellStart"/>
      <w:r w:rsidR="0070340F" w:rsidRPr="00617A78">
        <w:rPr>
          <w:rFonts w:ascii="Times New Roman" w:hAnsi="Times New Roman" w:cs="Times New Roman"/>
        </w:rPr>
        <w:t>non</w:t>
      </w:r>
      <w:r w:rsidR="002C6114" w:rsidRPr="00617A78">
        <w:rPr>
          <w:rFonts w:ascii="Times New Roman" w:hAnsi="Times New Roman" w:cs="Times New Roman"/>
        </w:rPr>
        <w:t>statutory</w:t>
      </w:r>
      <w:proofErr w:type="spellEnd"/>
      <w:r w:rsidR="0070340F" w:rsidRPr="00617A78">
        <w:rPr>
          <w:rFonts w:ascii="Times New Roman" w:hAnsi="Times New Roman" w:cs="Times New Roman"/>
        </w:rPr>
        <w:t xml:space="preserve"> </w:t>
      </w:r>
      <w:proofErr w:type="spellStart"/>
      <w:r w:rsidR="0070340F" w:rsidRPr="00617A78">
        <w:rPr>
          <w:rFonts w:ascii="Times New Roman" w:hAnsi="Times New Roman" w:cs="Times New Roman"/>
        </w:rPr>
        <w:t>vacatur</w:t>
      </w:r>
      <w:proofErr w:type="spellEnd"/>
      <w:r w:rsidRPr="00617A78">
        <w:rPr>
          <w:rFonts w:ascii="Times New Roman" w:hAnsi="Times New Roman" w:cs="Times New Roman"/>
        </w:rPr>
        <w:t>.”</w:t>
      </w:r>
      <w:r w:rsidRPr="00617A78">
        <w:rPr>
          <w:rStyle w:val="FootnoteReference"/>
          <w:rFonts w:ascii="Times New Roman" w:hAnsi="Times New Roman" w:cs="Times New Roman"/>
        </w:rPr>
        <w:footnoteReference w:id="72"/>
      </w:r>
      <w:r w:rsidRPr="00617A78">
        <w:rPr>
          <w:rFonts w:ascii="Times New Roman" w:hAnsi="Times New Roman" w:cs="Times New Roman"/>
        </w:rPr>
        <w:t xml:space="preserve"> </w:t>
      </w:r>
      <w:r w:rsidR="004B20C5" w:rsidRPr="00617A78">
        <w:rPr>
          <w:rFonts w:ascii="Times New Roman" w:hAnsi="Times New Roman" w:cs="Times New Roman"/>
        </w:rPr>
        <w:t>In response</w:t>
      </w:r>
      <w:r w:rsidR="0070340F" w:rsidRPr="00617A78">
        <w:rPr>
          <w:rFonts w:ascii="Times New Roman" w:hAnsi="Times New Roman" w:cs="Times New Roman"/>
        </w:rPr>
        <w:t xml:space="preserve">, </w:t>
      </w:r>
      <w:r w:rsidRPr="00617A78">
        <w:rPr>
          <w:rFonts w:ascii="Times New Roman" w:hAnsi="Times New Roman" w:cs="Times New Roman"/>
        </w:rPr>
        <w:t>the Court acknowledged</w:t>
      </w:r>
      <w:r w:rsidR="002C6114" w:rsidRPr="00617A78">
        <w:rPr>
          <w:rFonts w:ascii="Times New Roman" w:hAnsi="Times New Roman" w:cs="Times New Roman"/>
        </w:rPr>
        <w:t xml:space="preserve"> </w:t>
      </w:r>
      <w:r w:rsidRPr="00617A78">
        <w:rPr>
          <w:rFonts w:ascii="Times New Roman" w:hAnsi="Times New Roman" w:cs="Times New Roman"/>
        </w:rPr>
        <w:t>that</w:t>
      </w:r>
      <w:r w:rsidR="002C6114" w:rsidRPr="00617A78">
        <w:rPr>
          <w:rFonts w:ascii="Times New Roman" w:hAnsi="Times New Roman" w:cs="Times New Roman"/>
        </w:rPr>
        <w:t xml:space="preserve"> a number of Circuit C</w:t>
      </w:r>
      <w:r w:rsidRPr="00617A78">
        <w:rPr>
          <w:rFonts w:ascii="Times New Roman" w:hAnsi="Times New Roman" w:cs="Times New Roman"/>
        </w:rPr>
        <w:t>ourts had recognized manifest disregard as an additional ground for vacating an award beyond § 10 of the FAA</w:t>
      </w:r>
      <w:r w:rsidR="0070340F" w:rsidRPr="00617A78">
        <w:rPr>
          <w:rFonts w:ascii="Times New Roman" w:hAnsi="Times New Roman" w:cs="Times New Roman"/>
        </w:rPr>
        <w:t>,</w:t>
      </w:r>
      <w:r w:rsidRPr="00617A78">
        <w:rPr>
          <w:rStyle w:val="FootnoteReference"/>
          <w:rFonts w:ascii="Times New Roman" w:hAnsi="Times New Roman" w:cs="Times New Roman"/>
        </w:rPr>
        <w:footnoteReference w:id="73"/>
      </w:r>
      <w:r w:rsidR="0070340F" w:rsidRPr="00617A78">
        <w:rPr>
          <w:rFonts w:ascii="Times New Roman" w:hAnsi="Times New Roman" w:cs="Times New Roman"/>
        </w:rPr>
        <w:t xml:space="preserve"> but </w:t>
      </w:r>
      <w:r w:rsidRPr="00617A78">
        <w:rPr>
          <w:rFonts w:ascii="Times New Roman" w:hAnsi="Times New Roman" w:cs="Times New Roman"/>
        </w:rPr>
        <w:t xml:space="preserve">the Court disagreed with Hall Street’s argument, in part, because </w:t>
      </w:r>
      <w:proofErr w:type="spellStart"/>
      <w:r w:rsidRPr="00617A78">
        <w:rPr>
          <w:rFonts w:ascii="Times New Roman" w:hAnsi="Times New Roman" w:cs="Times New Roman"/>
          <w:i/>
        </w:rPr>
        <w:t>Wilko</w:t>
      </w:r>
      <w:proofErr w:type="spellEnd"/>
      <w:r w:rsidRPr="00617A78">
        <w:rPr>
          <w:rFonts w:ascii="Times New Roman" w:hAnsi="Times New Roman" w:cs="Times New Roman"/>
          <w:i/>
        </w:rPr>
        <w:t xml:space="preserve"> </w:t>
      </w:r>
      <w:r w:rsidRPr="00617A78">
        <w:rPr>
          <w:rFonts w:ascii="Times New Roman" w:hAnsi="Times New Roman" w:cs="Times New Roman"/>
        </w:rPr>
        <w:t>expressly rejected what Hall Street was asking for: “general review for an arbitrator’s” legal errors.</w:t>
      </w:r>
      <w:r w:rsidRPr="00617A78">
        <w:rPr>
          <w:rStyle w:val="FootnoteReference"/>
          <w:rFonts w:ascii="Times New Roman" w:hAnsi="Times New Roman" w:cs="Times New Roman"/>
        </w:rPr>
        <w:footnoteReference w:id="74"/>
      </w:r>
      <w:r w:rsidRPr="00617A78">
        <w:rPr>
          <w:rFonts w:ascii="Times New Roman" w:hAnsi="Times New Roman" w:cs="Times New Roman"/>
        </w:rPr>
        <w:t xml:space="preserve"> </w:t>
      </w:r>
      <w:r w:rsidR="00D9498E" w:rsidRPr="00617A78">
        <w:rPr>
          <w:rFonts w:ascii="Times New Roman" w:hAnsi="Times New Roman" w:cs="Times New Roman"/>
        </w:rPr>
        <w:t>T</w:t>
      </w:r>
      <w:r w:rsidRPr="00617A78">
        <w:rPr>
          <w:rFonts w:ascii="Times New Roman" w:hAnsi="Times New Roman" w:cs="Times New Roman"/>
        </w:rPr>
        <w:t>he Court</w:t>
      </w:r>
      <w:r w:rsidR="00D9498E" w:rsidRPr="00617A78">
        <w:rPr>
          <w:rFonts w:ascii="Times New Roman" w:hAnsi="Times New Roman" w:cs="Times New Roman"/>
        </w:rPr>
        <w:t>, however,</w:t>
      </w:r>
      <w:r w:rsidRPr="00617A78">
        <w:rPr>
          <w:rFonts w:ascii="Times New Roman" w:hAnsi="Times New Roman" w:cs="Times New Roman"/>
        </w:rPr>
        <w:t xml:space="preserve"> did not stop there. Instead, the Court attempted to explain the meaning of its earlier statement in </w:t>
      </w:r>
      <w:proofErr w:type="spellStart"/>
      <w:r w:rsidRPr="00617A78">
        <w:rPr>
          <w:rFonts w:ascii="Times New Roman" w:hAnsi="Times New Roman" w:cs="Times New Roman"/>
          <w:i/>
        </w:rPr>
        <w:t>Wilko</w:t>
      </w:r>
      <w:proofErr w:type="spellEnd"/>
      <w:r w:rsidRPr="00617A78">
        <w:rPr>
          <w:rFonts w:ascii="Times New Roman" w:hAnsi="Times New Roman" w:cs="Times New Roman"/>
        </w:rPr>
        <w:t xml:space="preserve">, writing: </w:t>
      </w:r>
    </w:p>
    <w:p w14:paraId="40CDB93B" w14:textId="77777777" w:rsidR="004E77D6" w:rsidRPr="00617A78" w:rsidRDefault="004E77D6" w:rsidP="004E77D6">
      <w:pPr>
        <w:widowControl w:val="0"/>
        <w:ind w:firstLine="720"/>
        <w:jc w:val="both"/>
        <w:rPr>
          <w:rFonts w:ascii="Times New Roman" w:hAnsi="Times New Roman" w:cs="Times New Roman"/>
        </w:rPr>
      </w:pPr>
    </w:p>
    <w:p w14:paraId="26592A0D" w14:textId="77777777" w:rsidR="007C587F" w:rsidRPr="00617A78" w:rsidRDefault="007C587F" w:rsidP="004E77D6">
      <w:pPr>
        <w:widowControl w:val="0"/>
        <w:autoSpaceDE w:val="0"/>
        <w:autoSpaceDN w:val="0"/>
        <w:adjustRightInd w:val="0"/>
        <w:ind w:left="450" w:right="270"/>
        <w:jc w:val="both"/>
        <w:rPr>
          <w:rFonts w:ascii="Times New Roman" w:hAnsi="Times New Roman" w:cs="Times New Roman"/>
        </w:rPr>
      </w:pPr>
      <w:r w:rsidRPr="00617A78">
        <w:rPr>
          <w:rFonts w:ascii="Times New Roman" w:hAnsi="Times New Roman" w:cs="Times New Roman"/>
        </w:rPr>
        <w:t xml:space="preserve">Maybe the term ‘manifest disregard’ was meant to name a new ground for review, but maybe it merely referred to the § 10 grounds collectively, rather than adding to them …. Or, as some courts have thought, ‘manifest disregard’ may have been shorthand for § 10(a)(3) or § 10(a)(4), the paragraphs authorizing </w:t>
      </w:r>
      <w:proofErr w:type="spellStart"/>
      <w:r w:rsidRPr="00617A78">
        <w:rPr>
          <w:rFonts w:ascii="Times New Roman" w:hAnsi="Times New Roman" w:cs="Times New Roman"/>
        </w:rPr>
        <w:t>vacatur</w:t>
      </w:r>
      <w:proofErr w:type="spellEnd"/>
      <w:r w:rsidRPr="00617A78">
        <w:rPr>
          <w:rFonts w:ascii="Times New Roman" w:hAnsi="Times New Roman" w:cs="Times New Roman"/>
        </w:rPr>
        <w:t xml:space="preserve"> when the arbitrators were ‘guilty of misconduct’ or ‘exceeded their powers.’ We, when speaking as a Court, have merely taken the </w:t>
      </w:r>
      <w:proofErr w:type="spellStart"/>
      <w:r w:rsidRPr="00617A78">
        <w:rPr>
          <w:rFonts w:ascii="Times New Roman" w:hAnsi="Times New Roman" w:cs="Times New Roman"/>
          <w:i/>
          <w:iCs/>
        </w:rPr>
        <w:t>Wilko</w:t>
      </w:r>
      <w:proofErr w:type="spellEnd"/>
      <w:r w:rsidRPr="00617A78">
        <w:rPr>
          <w:rFonts w:ascii="Times New Roman" w:hAnsi="Times New Roman" w:cs="Times New Roman"/>
        </w:rPr>
        <w:t xml:space="preserve"> language as we found it, with out embellishment, see </w:t>
      </w:r>
      <w:r w:rsidRPr="00617A78">
        <w:rPr>
          <w:rFonts w:ascii="Times New Roman" w:hAnsi="Times New Roman" w:cs="Times New Roman"/>
          <w:i/>
          <w:iCs/>
        </w:rPr>
        <w:t>First Options of Chicago, Inc. v. Kaplan</w:t>
      </w:r>
      <w:r w:rsidRPr="00617A78">
        <w:rPr>
          <w:rFonts w:ascii="Times New Roman" w:hAnsi="Times New Roman" w:cs="Times New Roman"/>
        </w:rPr>
        <w:t xml:space="preserve">, 514 U.S. 938, 942, 115 S. Ct. 1920, 131 L. Ed. 2d 985 (1995), and now that its meaning is implicated, we see no reason to accord it the significance that </w:t>
      </w:r>
      <w:r w:rsidRPr="00617A78">
        <w:rPr>
          <w:rFonts w:ascii="Times New Roman" w:hAnsi="Times New Roman" w:cs="Times New Roman"/>
          <w:bCs/>
        </w:rPr>
        <w:t>Hall Street</w:t>
      </w:r>
      <w:r w:rsidRPr="00617A78">
        <w:rPr>
          <w:rFonts w:ascii="Times New Roman" w:hAnsi="Times New Roman" w:cs="Times New Roman"/>
        </w:rPr>
        <w:t xml:space="preserve"> urges.</w:t>
      </w:r>
      <w:r w:rsidRPr="00617A78">
        <w:rPr>
          <w:rStyle w:val="FootnoteReference"/>
          <w:rFonts w:ascii="Times New Roman" w:hAnsi="Times New Roman" w:cs="Times New Roman"/>
        </w:rPr>
        <w:footnoteReference w:id="75"/>
      </w:r>
    </w:p>
    <w:p w14:paraId="45AEF3E3" w14:textId="77777777" w:rsidR="007C587F" w:rsidRPr="00617A78" w:rsidRDefault="007C587F" w:rsidP="004E77D6">
      <w:pPr>
        <w:widowControl w:val="0"/>
        <w:autoSpaceDE w:val="0"/>
        <w:autoSpaceDN w:val="0"/>
        <w:adjustRightInd w:val="0"/>
        <w:ind w:left="1350" w:right="720"/>
        <w:jc w:val="both"/>
        <w:rPr>
          <w:rFonts w:ascii="Times New Roman" w:hAnsi="Times New Roman" w:cs="Times New Roman"/>
        </w:rPr>
      </w:pPr>
    </w:p>
    <w:p w14:paraId="63CF2A06" w14:textId="186BC8D0" w:rsidR="007C587F" w:rsidRDefault="007C587F" w:rsidP="004E77D6">
      <w:pPr>
        <w:widowControl w:val="0"/>
        <w:ind w:firstLine="720"/>
        <w:jc w:val="both"/>
        <w:rPr>
          <w:rFonts w:ascii="Times New Roman" w:hAnsi="Times New Roman" w:cs="Times New Roman"/>
        </w:rPr>
      </w:pPr>
      <w:r w:rsidRPr="00617A78">
        <w:rPr>
          <w:rFonts w:ascii="Times New Roman" w:hAnsi="Times New Roman" w:cs="Times New Roman"/>
        </w:rPr>
        <w:lastRenderedPageBreak/>
        <w:t>This statement has caused many courts and scholars to question the viability, and possibly the existence, of the doctrine of manifest disregard (at least in federal courts).</w:t>
      </w:r>
      <w:r w:rsidRPr="00617A78">
        <w:rPr>
          <w:rStyle w:val="FootnoteReference"/>
          <w:rFonts w:ascii="Times New Roman" w:hAnsi="Times New Roman" w:cs="Times New Roman"/>
        </w:rPr>
        <w:footnoteReference w:id="76"/>
      </w:r>
      <w:r w:rsidRPr="00617A78">
        <w:rPr>
          <w:rFonts w:ascii="Times New Roman" w:hAnsi="Times New Roman" w:cs="Times New Roman"/>
        </w:rPr>
        <w:t xml:space="preserve"> Although the Court “did not expressly reject ‘manifest disregard’ as a valid ground for review,” according to</w:t>
      </w:r>
      <w:r w:rsidR="004B20C5" w:rsidRPr="00617A78">
        <w:rPr>
          <w:rFonts w:ascii="Times New Roman" w:hAnsi="Times New Roman" w:cs="Times New Roman"/>
        </w:rPr>
        <w:t xml:space="preserve"> Jill</w:t>
      </w:r>
      <w:r w:rsidRPr="00617A78">
        <w:rPr>
          <w:rFonts w:ascii="Times New Roman" w:hAnsi="Times New Roman" w:cs="Times New Roman"/>
        </w:rPr>
        <w:t xml:space="preserve"> Gross, “it did not embrace it either.”</w:t>
      </w:r>
      <w:r w:rsidRPr="00617A78">
        <w:rPr>
          <w:rStyle w:val="FootnoteReference"/>
          <w:rFonts w:ascii="Times New Roman" w:hAnsi="Times New Roman" w:cs="Times New Roman"/>
        </w:rPr>
        <w:footnoteReference w:id="77"/>
      </w:r>
      <w:r w:rsidRPr="00617A78">
        <w:rPr>
          <w:rFonts w:ascii="Times New Roman" w:hAnsi="Times New Roman" w:cs="Times New Roman"/>
        </w:rPr>
        <w:t xml:space="preserve">  This uncertainty</w:t>
      </w:r>
      <w:r w:rsidR="00F32E93" w:rsidRPr="00617A78">
        <w:rPr>
          <w:rFonts w:ascii="Times New Roman" w:hAnsi="Times New Roman" w:cs="Times New Roman"/>
        </w:rPr>
        <w:t xml:space="preserve"> has lead a number of Circuit C</w:t>
      </w:r>
      <w:r w:rsidRPr="00617A78">
        <w:rPr>
          <w:rFonts w:ascii="Times New Roman" w:hAnsi="Times New Roman" w:cs="Times New Roman"/>
        </w:rPr>
        <w:t xml:space="preserve">ourts to construct differing interpretations of the Court’s decision in </w:t>
      </w:r>
      <w:r w:rsidRPr="00617A78">
        <w:rPr>
          <w:rFonts w:ascii="Times New Roman" w:hAnsi="Times New Roman" w:cs="Times New Roman"/>
          <w:i/>
        </w:rPr>
        <w:t>Hall Street</w:t>
      </w:r>
      <w:r w:rsidRPr="00617A78">
        <w:rPr>
          <w:rFonts w:ascii="Times New Roman" w:hAnsi="Times New Roman" w:cs="Times New Roman"/>
        </w:rPr>
        <w:t>, prompting divergence among courts and disagreement regar</w:t>
      </w:r>
      <w:r w:rsidR="00F32E93" w:rsidRPr="00617A78">
        <w:rPr>
          <w:rFonts w:ascii="Times New Roman" w:hAnsi="Times New Roman" w:cs="Times New Roman"/>
        </w:rPr>
        <w:t>ding the future of the doctrine.</w:t>
      </w:r>
    </w:p>
    <w:p w14:paraId="2F47E3CD" w14:textId="77777777" w:rsidR="004E77D6" w:rsidRPr="00617A78" w:rsidRDefault="004E77D6" w:rsidP="004E77D6">
      <w:pPr>
        <w:widowControl w:val="0"/>
        <w:ind w:firstLine="720"/>
        <w:jc w:val="both"/>
        <w:rPr>
          <w:rFonts w:ascii="Times New Roman" w:hAnsi="Times New Roman" w:cs="Times New Roman"/>
        </w:rPr>
      </w:pPr>
    </w:p>
    <w:p w14:paraId="20897C3B" w14:textId="73FB015E" w:rsidR="007C587F" w:rsidRPr="00617A78" w:rsidRDefault="007C587F" w:rsidP="004E77D6">
      <w:pPr>
        <w:pStyle w:val="ListParagraph"/>
        <w:widowControl w:val="0"/>
        <w:numPr>
          <w:ilvl w:val="0"/>
          <w:numId w:val="1"/>
        </w:numPr>
        <w:rPr>
          <w:rFonts w:ascii="Times New Roman" w:hAnsi="Times New Roman" w:cs="Times New Roman"/>
          <w:b/>
          <w:u w:val="single"/>
        </w:rPr>
      </w:pPr>
      <w:r w:rsidRPr="00617A78">
        <w:rPr>
          <w:rFonts w:ascii="Times New Roman" w:hAnsi="Times New Roman" w:cs="Times New Roman"/>
          <w:b/>
          <w:u w:val="single"/>
        </w:rPr>
        <w:t xml:space="preserve">Manifest Disregard After </w:t>
      </w:r>
      <w:r w:rsidRPr="00617A78">
        <w:rPr>
          <w:rFonts w:ascii="Times New Roman" w:hAnsi="Times New Roman" w:cs="Times New Roman"/>
          <w:b/>
          <w:i/>
          <w:u w:val="single"/>
        </w:rPr>
        <w:t>Hall Street</w:t>
      </w:r>
      <w:r w:rsidR="004E77D6">
        <w:rPr>
          <w:rFonts w:ascii="Times New Roman" w:hAnsi="Times New Roman" w:cs="Times New Roman"/>
          <w:b/>
          <w:i/>
          <w:u w:val="single"/>
        </w:rPr>
        <w:br/>
      </w:r>
    </w:p>
    <w:p w14:paraId="556FA2E6" w14:textId="3A70EDEE" w:rsidR="007C587F" w:rsidRDefault="007C587F" w:rsidP="004E77D6">
      <w:pPr>
        <w:widowControl w:val="0"/>
        <w:ind w:firstLine="720"/>
        <w:jc w:val="both"/>
        <w:rPr>
          <w:rFonts w:ascii="Times New Roman" w:hAnsi="Times New Roman" w:cs="Times New Roman"/>
        </w:rPr>
      </w:pPr>
      <w:r w:rsidRPr="00617A78">
        <w:rPr>
          <w:rFonts w:ascii="Times New Roman" w:hAnsi="Times New Roman" w:cs="Times New Roman"/>
        </w:rPr>
        <w:t>Since</w:t>
      </w:r>
      <w:r w:rsidRPr="00617A78">
        <w:rPr>
          <w:rFonts w:ascii="Times New Roman" w:hAnsi="Times New Roman" w:cs="Times New Roman"/>
          <w:i/>
        </w:rPr>
        <w:t xml:space="preserve"> </w:t>
      </w:r>
      <w:r w:rsidRPr="00617A78">
        <w:rPr>
          <w:rFonts w:ascii="Times New Roman" w:hAnsi="Times New Roman" w:cs="Times New Roman"/>
        </w:rPr>
        <w:t xml:space="preserve">the Supreme Court’s decision in </w:t>
      </w:r>
      <w:r w:rsidRPr="00617A78">
        <w:rPr>
          <w:rFonts w:ascii="Times New Roman" w:hAnsi="Times New Roman" w:cs="Times New Roman"/>
          <w:i/>
        </w:rPr>
        <w:t>Hall Street</w:t>
      </w:r>
      <w:r w:rsidRPr="00617A78">
        <w:rPr>
          <w:rFonts w:ascii="Times New Roman" w:hAnsi="Times New Roman" w:cs="Times New Roman"/>
        </w:rPr>
        <w:t>,</w:t>
      </w:r>
      <w:r w:rsidR="00E97758" w:rsidRPr="00617A78">
        <w:rPr>
          <w:rFonts w:ascii="Times New Roman" w:hAnsi="Times New Roman" w:cs="Times New Roman"/>
        </w:rPr>
        <w:t xml:space="preserve"> Federal Circuit C</w:t>
      </w:r>
      <w:r w:rsidRPr="00617A78">
        <w:rPr>
          <w:rFonts w:ascii="Times New Roman" w:hAnsi="Times New Roman" w:cs="Times New Roman"/>
        </w:rPr>
        <w:t>ourts have grappled with the issue of whether manifest disregard remains a valid ground for vacating arbitral awards. This has resulted in varying views and responses regarding the current viability and application of the doctri</w:t>
      </w:r>
      <w:r w:rsidR="00E97758" w:rsidRPr="00617A78">
        <w:rPr>
          <w:rFonts w:ascii="Times New Roman" w:hAnsi="Times New Roman" w:cs="Times New Roman"/>
        </w:rPr>
        <w:t>ne of manifest disregard. Each C</w:t>
      </w:r>
      <w:r w:rsidRPr="00617A78">
        <w:rPr>
          <w:rFonts w:ascii="Times New Roman" w:hAnsi="Times New Roman" w:cs="Times New Roman"/>
        </w:rPr>
        <w:t xml:space="preserve">ircuits’ view, </w:t>
      </w:r>
      <w:r w:rsidR="004B20C5" w:rsidRPr="00617A78">
        <w:rPr>
          <w:rFonts w:ascii="Times New Roman" w:hAnsi="Times New Roman" w:cs="Times New Roman"/>
        </w:rPr>
        <w:t xml:space="preserve">Jonas </w:t>
      </w:r>
      <w:proofErr w:type="spellStart"/>
      <w:r w:rsidRPr="00617A78">
        <w:rPr>
          <w:rFonts w:ascii="Times New Roman" w:hAnsi="Times New Roman" w:cs="Times New Roman"/>
        </w:rPr>
        <w:t>Cullemark</w:t>
      </w:r>
      <w:proofErr w:type="spellEnd"/>
      <w:r w:rsidRPr="00617A78">
        <w:rPr>
          <w:rFonts w:ascii="Times New Roman" w:hAnsi="Times New Roman" w:cs="Times New Roman"/>
        </w:rPr>
        <w:t xml:space="preserve"> suggest</w:t>
      </w:r>
      <w:r w:rsidR="004B20C5" w:rsidRPr="00617A78">
        <w:rPr>
          <w:rFonts w:ascii="Times New Roman" w:hAnsi="Times New Roman" w:cs="Times New Roman"/>
        </w:rPr>
        <w:t>s</w:t>
      </w:r>
      <w:r w:rsidRPr="00617A78">
        <w:rPr>
          <w:rFonts w:ascii="Times New Roman" w:hAnsi="Times New Roman" w:cs="Times New Roman"/>
        </w:rPr>
        <w:t xml:space="preserve">, relates to the meaning attributed to the word “exclusive” in </w:t>
      </w:r>
      <w:r w:rsidRPr="00617A78">
        <w:rPr>
          <w:rFonts w:ascii="Times New Roman" w:hAnsi="Times New Roman" w:cs="Times New Roman"/>
          <w:i/>
        </w:rPr>
        <w:t>Hall Street</w:t>
      </w:r>
      <w:r w:rsidRPr="00617A78">
        <w:rPr>
          <w:rFonts w:ascii="Times New Roman" w:hAnsi="Times New Roman" w:cs="Times New Roman"/>
        </w:rPr>
        <w:t>,</w:t>
      </w:r>
      <w:bookmarkStart w:id="13" w:name="_Ref355711910"/>
      <w:r w:rsidRPr="00617A78">
        <w:rPr>
          <w:rStyle w:val="FootnoteReference"/>
          <w:rFonts w:ascii="Times New Roman" w:hAnsi="Times New Roman" w:cs="Times New Roman"/>
        </w:rPr>
        <w:footnoteReference w:id="78"/>
      </w:r>
      <w:bookmarkEnd w:id="13"/>
      <w:r w:rsidR="00E97758" w:rsidRPr="00617A78">
        <w:rPr>
          <w:rFonts w:ascii="Times New Roman" w:hAnsi="Times New Roman" w:cs="Times New Roman"/>
        </w:rPr>
        <w:t xml:space="preserve"> and each C</w:t>
      </w:r>
      <w:r w:rsidRPr="00617A78">
        <w:rPr>
          <w:rFonts w:ascii="Times New Roman" w:hAnsi="Times New Roman" w:cs="Times New Roman"/>
        </w:rPr>
        <w:t xml:space="preserve">ircuits’ response tends to depended, according to Davis, “on whether the circuit viewed the manifest disregard standard as statutory or </w:t>
      </w:r>
      <w:proofErr w:type="spellStart"/>
      <w:r w:rsidRPr="00617A78">
        <w:rPr>
          <w:rFonts w:ascii="Times New Roman" w:hAnsi="Times New Roman" w:cs="Times New Roman"/>
        </w:rPr>
        <w:t>nonstatutory</w:t>
      </w:r>
      <w:proofErr w:type="spellEnd"/>
      <w:r w:rsidRPr="00617A78">
        <w:rPr>
          <w:rFonts w:ascii="Times New Roman" w:hAnsi="Times New Roman" w:cs="Times New Roman"/>
        </w:rPr>
        <w:t>.”</w:t>
      </w:r>
      <w:r w:rsidRPr="00617A78">
        <w:rPr>
          <w:rStyle w:val="FootnoteReference"/>
          <w:rFonts w:ascii="Times New Roman" w:hAnsi="Times New Roman" w:cs="Times New Roman"/>
        </w:rPr>
        <w:footnoteReference w:id="79"/>
      </w:r>
      <w:r w:rsidRPr="00617A78">
        <w:rPr>
          <w:rFonts w:ascii="Times New Roman" w:hAnsi="Times New Roman" w:cs="Times New Roman"/>
        </w:rPr>
        <w:t xml:space="preserve"> </w:t>
      </w:r>
      <w:r w:rsidR="00E97758" w:rsidRPr="00617A78">
        <w:rPr>
          <w:rFonts w:ascii="Times New Roman" w:hAnsi="Times New Roman" w:cs="Times New Roman"/>
        </w:rPr>
        <w:t>As discussed below, the C</w:t>
      </w:r>
      <w:r w:rsidRPr="00617A78">
        <w:rPr>
          <w:rFonts w:ascii="Times New Roman" w:hAnsi="Times New Roman" w:cs="Times New Roman"/>
        </w:rPr>
        <w:t>ircuits that have definitively addressed the issue have taken three positions regarding the doctrine of manifest disregard.</w:t>
      </w:r>
      <w:bookmarkStart w:id="14" w:name="_Ref355711964"/>
      <w:r w:rsidRPr="00617A78">
        <w:rPr>
          <w:rStyle w:val="FootnoteReference"/>
          <w:rFonts w:ascii="Times New Roman" w:hAnsi="Times New Roman" w:cs="Times New Roman"/>
        </w:rPr>
        <w:footnoteReference w:id="80"/>
      </w:r>
      <w:bookmarkEnd w:id="14"/>
      <w:r w:rsidRPr="00617A78">
        <w:rPr>
          <w:rFonts w:ascii="Times New Roman" w:hAnsi="Times New Roman" w:cs="Times New Roman"/>
        </w:rPr>
        <w:t xml:space="preserve"> The first position, which I have labeled the “abandonment” group, holds that manifest disregard is no lo</w:t>
      </w:r>
      <w:r w:rsidR="00F3268E" w:rsidRPr="00617A78">
        <w:rPr>
          <w:rFonts w:ascii="Times New Roman" w:hAnsi="Times New Roman" w:cs="Times New Roman"/>
        </w:rPr>
        <w:t xml:space="preserve">nger a viable basis for </w:t>
      </w:r>
      <w:proofErr w:type="spellStart"/>
      <w:r w:rsidR="00F3268E" w:rsidRPr="00617A78">
        <w:rPr>
          <w:rFonts w:ascii="Times New Roman" w:hAnsi="Times New Roman" w:cs="Times New Roman"/>
        </w:rPr>
        <w:t>vacatur</w:t>
      </w:r>
      <w:proofErr w:type="spellEnd"/>
      <w:r w:rsidRPr="00617A78">
        <w:rPr>
          <w:rFonts w:ascii="Times New Roman" w:hAnsi="Times New Roman" w:cs="Times New Roman"/>
        </w:rPr>
        <w:t xml:space="preserve">. The second position, the “non-statutory” group, believes that manifest disregard as a </w:t>
      </w:r>
      <w:r w:rsidR="00F3268E" w:rsidRPr="00617A78">
        <w:rPr>
          <w:rFonts w:ascii="Times New Roman" w:hAnsi="Times New Roman" w:cs="Times New Roman"/>
        </w:rPr>
        <w:t xml:space="preserve">non-statutory basis for </w:t>
      </w:r>
      <w:proofErr w:type="spellStart"/>
      <w:r w:rsidR="00F3268E" w:rsidRPr="00617A78">
        <w:rPr>
          <w:rFonts w:ascii="Times New Roman" w:hAnsi="Times New Roman" w:cs="Times New Roman"/>
        </w:rPr>
        <w:t>vacatur</w:t>
      </w:r>
      <w:proofErr w:type="spellEnd"/>
      <w:r w:rsidRPr="00617A78">
        <w:rPr>
          <w:rFonts w:ascii="Times New Roman" w:hAnsi="Times New Roman" w:cs="Times New Roman"/>
        </w:rPr>
        <w:t xml:space="preserve"> survived </w:t>
      </w:r>
      <w:r w:rsidRPr="00617A78">
        <w:rPr>
          <w:rFonts w:ascii="Times New Roman" w:hAnsi="Times New Roman" w:cs="Times New Roman"/>
          <w:i/>
        </w:rPr>
        <w:t>Hall Street</w:t>
      </w:r>
      <w:r w:rsidRPr="00617A78">
        <w:rPr>
          <w:rFonts w:ascii="Times New Roman" w:hAnsi="Times New Roman" w:cs="Times New Roman"/>
        </w:rPr>
        <w:t xml:space="preserve">. The third position, labeled the “shorthand or judicial gloss” group, holds that manifest disregard remains viable as a </w:t>
      </w:r>
      <w:r w:rsidR="003015B4" w:rsidRPr="00617A78">
        <w:rPr>
          <w:rFonts w:ascii="Times New Roman" w:hAnsi="Times New Roman" w:cs="Times New Roman"/>
        </w:rPr>
        <w:t xml:space="preserve">judicial </w:t>
      </w:r>
      <w:r w:rsidR="003015B4" w:rsidRPr="00617A78">
        <w:rPr>
          <w:rFonts w:ascii="Times New Roman" w:hAnsi="Times New Roman" w:cs="Times New Roman"/>
        </w:rPr>
        <w:lastRenderedPageBreak/>
        <w:t xml:space="preserve">gloss on the grounds listed in FAA § 10, or as a </w:t>
      </w:r>
      <w:r w:rsidRPr="00617A78">
        <w:rPr>
          <w:rFonts w:ascii="Times New Roman" w:hAnsi="Times New Roman" w:cs="Times New Roman"/>
        </w:rPr>
        <w:t>shorthand for FAA §§ 10(a)(3) and 10(a)(4).</w:t>
      </w:r>
      <w:r w:rsidR="006A5017" w:rsidRPr="00617A78">
        <w:rPr>
          <w:rFonts w:ascii="Times New Roman" w:hAnsi="Times New Roman" w:cs="Times New Roman"/>
        </w:rPr>
        <w:t xml:space="preserve"> In addition to these three position</w:t>
      </w:r>
      <w:r w:rsidR="00FF2F31" w:rsidRPr="00617A78">
        <w:rPr>
          <w:rFonts w:ascii="Times New Roman" w:hAnsi="Times New Roman" w:cs="Times New Roman"/>
        </w:rPr>
        <w:t>s</w:t>
      </w:r>
      <w:r w:rsidR="006A5017" w:rsidRPr="00617A78">
        <w:rPr>
          <w:rFonts w:ascii="Times New Roman" w:hAnsi="Times New Roman" w:cs="Times New Roman"/>
        </w:rPr>
        <w:t xml:space="preserve">, some courts have acknowledged the continuing viability </w:t>
      </w:r>
      <w:r w:rsidR="00E97758" w:rsidRPr="00617A78">
        <w:rPr>
          <w:rFonts w:ascii="Times New Roman" w:hAnsi="Times New Roman" w:cs="Times New Roman"/>
        </w:rPr>
        <w:t>of</w:t>
      </w:r>
      <w:r w:rsidR="006A5017" w:rsidRPr="00617A78">
        <w:rPr>
          <w:rFonts w:ascii="Times New Roman" w:hAnsi="Times New Roman" w:cs="Times New Roman"/>
        </w:rPr>
        <w:t xml:space="preserve"> manifest disregard, but have not definitively set forth whether the doctrine remains valid as a non-statutory, common-law, groun</w:t>
      </w:r>
      <w:r w:rsidR="00EA6D0F" w:rsidRPr="00617A78">
        <w:rPr>
          <w:rFonts w:ascii="Times New Roman" w:hAnsi="Times New Roman" w:cs="Times New Roman"/>
        </w:rPr>
        <w:t>d or as a shorthand/judicial glo</w:t>
      </w:r>
      <w:r w:rsidR="006A5017" w:rsidRPr="00617A78">
        <w:rPr>
          <w:rFonts w:ascii="Times New Roman" w:hAnsi="Times New Roman" w:cs="Times New Roman"/>
        </w:rPr>
        <w:t xml:space="preserve">ss for the grounds enumerated in FAA § 10. </w:t>
      </w:r>
    </w:p>
    <w:p w14:paraId="7F706170" w14:textId="77777777" w:rsidR="004E77D6" w:rsidRPr="00617A78" w:rsidRDefault="004E77D6" w:rsidP="004E77D6">
      <w:pPr>
        <w:widowControl w:val="0"/>
        <w:ind w:firstLine="720"/>
        <w:jc w:val="both"/>
        <w:rPr>
          <w:rFonts w:ascii="Times New Roman" w:hAnsi="Times New Roman" w:cs="Times New Roman"/>
        </w:rPr>
      </w:pPr>
    </w:p>
    <w:p w14:paraId="36C925A0" w14:textId="77777777" w:rsidR="007C587F" w:rsidRPr="00617A78" w:rsidRDefault="007C587F" w:rsidP="004E77D6">
      <w:pPr>
        <w:pStyle w:val="ListParagraph"/>
        <w:widowControl w:val="0"/>
        <w:numPr>
          <w:ilvl w:val="1"/>
          <w:numId w:val="1"/>
        </w:numPr>
        <w:rPr>
          <w:rFonts w:ascii="Times New Roman" w:hAnsi="Times New Roman" w:cs="Times New Roman"/>
          <w:u w:val="single"/>
        </w:rPr>
      </w:pPr>
      <w:r w:rsidRPr="00617A78">
        <w:rPr>
          <w:rFonts w:ascii="Times New Roman" w:hAnsi="Times New Roman" w:cs="Times New Roman"/>
          <w:u w:val="single"/>
        </w:rPr>
        <w:t xml:space="preserve">Abandonment </w:t>
      </w:r>
    </w:p>
    <w:p w14:paraId="5DB53D52" w14:textId="77777777" w:rsidR="007C587F" w:rsidRPr="00617A78" w:rsidRDefault="007C587F" w:rsidP="004E77D6">
      <w:pPr>
        <w:pStyle w:val="ListParagraph"/>
        <w:widowControl w:val="0"/>
        <w:ind w:left="1440"/>
        <w:rPr>
          <w:rFonts w:ascii="Times New Roman" w:hAnsi="Times New Roman" w:cs="Times New Roman"/>
          <w:u w:val="single"/>
        </w:rPr>
      </w:pPr>
    </w:p>
    <w:p w14:paraId="0CFE5699" w14:textId="2B4EE9D6" w:rsidR="007C587F" w:rsidRDefault="007C587F" w:rsidP="004E77D6">
      <w:pPr>
        <w:widowControl w:val="0"/>
        <w:ind w:firstLine="720"/>
        <w:jc w:val="both"/>
        <w:rPr>
          <w:rFonts w:ascii="Times New Roman" w:hAnsi="Times New Roman" w:cs="Times New Roman"/>
        </w:rPr>
      </w:pPr>
      <w:r w:rsidRPr="00617A78">
        <w:rPr>
          <w:rFonts w:ascii="Times New Roman" w:hAnsi="Times New Roman" w:cs="Times New Roman"/>
        </w:rPr>
        <w:t>The Fifth, Eight</w:t>
      </w:r>
      <w:r w:rsidR="00EC4CFF" w:rsidRPr="00617A78">
        <w:rPr>
          <w:rFonts w:ascii="Times New Roman" w:hAnsi="Times New Roman" w:cs="Times New Roman"/>
        </w:rPr>
        <w:t>h</w:t>
      </w:r>
      <w:r w:rsidRPr="00617A78">
        <w:rPr>
          <w:rFonts w:ascii="Times New Roman" w:hAnsi="Times New Roman" w:cs="Times New Roman"/>
        </w:rPr>
        <w:t xml:space="preserve">, and Eleventh Circuits have interpreted </w:t>
      </w:r>
      <w:r w:rsidRPr="00617A78">
        <w:rPr>
          <w:rFonts w:ascii="Times New Roman" w:hAnsi="Times New Roman" w:cs="Times New Roman"/>
          <w:i/>
        </w:rPr>
        <w:t>Hall Street</w:t>
      </w:r>
      <w:r w:rsidRPr="00617A78">
        <w:rPr>
          <w:rFonts w:ascii="Times New Roman" w:hAnsi="Times New Roman" w:cs="Times New Roman"/>
        </w:rPr>
        <w:t xml:space="preserve"> as effectively eradicating the doctrine of manifest disregard—</w:t>
      </w:r>
      <w:r w:rsidRPr="00617A78">
        <w:rPr>
          <w:rFonts w:ascii="Times New Roman" w:hAnsi="Times New Roman" w:cs="Times New Roman"/>
          <w:i/>
        </w:rPr>
        <w:t>i.e.</w:t>
      </w:r>
      <w:r w:rsidRPr="00617A78">
        <w:rPr>
          <w:rFonts w:ascii="Times New Roman" w:hAnsi="Times New Roman" w:cs="Times New Roman"/>
        </w:rPr>
        <w:t>, the doctrine no longer remains a viable basis for vacating arbitral awards post-</w:t>
      </w:r>
      <w:r w:rsidRPr="00617A78">
        <w:rPr>
          <w:rFonts w:ascii="Times New Roman" w:hAnsi="Times New Roman" w:cs="Times New Roman"/>
          <w:i/>
        </w:rPr>
        <w:t>Hall Street</w:t>
      </w:r>
      <w:r w:rsidRPr="00617A78">
        <w:rPr>
          <w:rFonts w:ascii="Times New Roman" w:hAnsi="Times New Roman" w:cs="Times New Roman"/>
        </w:rPr>
        <w:t>.</w:t>
      </w:r>
      <w:r w:rsidRPr="00617A78">
        <w:rPr>
          <w:rStyle w:val="FootnoteReference"/>
          <w:rFonts w:ascii="Times New Roman" w:hAnsi="Times New Roman" w:cs="Times New Roman"/>
        </w:rPr>
        <w:footnoteReference w:id="81"/>
      </w:r>
      <w:r w:rsidRPr="00617A78">
        <w:rPr>
          <w:rFonts w:ascii="Times New Roman" w:hAnsi="Times New Roman" w:cs="Times New Roman"/>
        </w:rPr>
        <w:t xml:space="preserve"> </w:t>
      </w:r>
      <w:r w:rsidR="00595F3D" w:rsidRPr="00617A78">
        <w:rPr>
          <w:rFonts w:ascii="Times New Roman" w:hAnsi="Times New Roman" w:cs="Times New Roman"/>
        </w:rPr>
        <w:t>T</w:t>
      </w:r>
      <w:r w:rsidRPr="00617A78">
        <w:rPr>
          <w:rFonts w:ascii="Times New Roman" w:hAnsi="Times New Roman" w:cs="Times New Roman"/>
        </w:rPr>
        <w:t>his section briefly examine</w:t>
      </w:r>
      <w:r w:rsidR="00595F3D" w:rsidRPr="00617A78">
        <w:rPr>
          <w:rFonts w:ascii="Times New Roman" w:hAnsi="Times New Roman" w:cs="Times New Roman"/>
        </w:rPr>
        <w:t>s</w:t>
      </w:r>
      <w:r w:rsidRPr="00617A78">
        <w:rPr>
          <w:rFonts w:ascii="Times New Roman" w:hAnsi="Times New Roman" w:cs="Times New Roman"/>
        </w:rPr>
        <w:t xml:space="preserve"> decisions in each circuit denying the continuing validity of the doctrine of manifest disregard. </w:t>
      </w:r>
    </w:p>
    <w:p w14:paraId="15571447" w14:textId="77777777" w:rsidR="004E77D6" w:rsidRPr="00617A78" w:rsidRDefault="004E77D6" w:rsidP="004E77D6">
      <w:pPr>
        <w:widowControl w:val="0"/>
        <w:ind w:firstLine="720"/>
        <w:jc w:val="both"/>
        <w:rPr>
          <w:rFonts w:ascii="Times New Roman" w:hAnsi="Times New Roman" w:cs="Times New Roman"/>
        </w:rPr>
      </w:pPr>
    </w:p>
    <w:p w14:paraId="144CDCF6" w14:textId="77777777" w:rsidR="007C587F" w:rsidRPr="00617A78" w:rsidRDefault="007C587F" w:rsidP="004E77D6">
      <w:pPr>
        <w:pStyle w:val="ListParagraph"/>
        <w:widowControl w:val="0"/>
        <w:numPr>
          <w:ilvl w:val="2"/>
          <w:numId w:val="1"/>
        </w:numPr>
        <w:rPr>
          <w:rFonts w:ascii="Times New Roman" w:hAnsi="Times New Roman" w:cs="Times New Roman"/>
          <w:u w:val="single"/>
        </w:rPr>
      </w:pPr>
      <w:r w:rsidRPr="00617A78">
        <w:rPr>
          <w:rFonts w:ascii="Times New Roman" w:hAnsi="Times New Roman" w:cs="Times New Roman"/>
          <w:i/>
        </w:rPr>
        <w:t xml:space="preserve">Fifth Circuit </w:t>
      </w:r>
    </w:p>
    <w:p w14:paraId="63C597BE" w14:textId="77777777" w:rsidR="007C587F" w:rsidRPr="00617A78" w:rsidRDefault="007C587F" w:rsidP="004E77D6">
      <w:pPr>
        <w:pStyle w:val="ListParagraph"/>
        <w:widowControl w:val="0"/>
        <w:ind w:left="1530"/>
        <w:rPr>
          <w:rFonts w:ascii="Times New Roman" w:hAnsi="Times New Roman" w:cs="Times New Roman"/>
          <w:u w:val="single"/>
        </w:rPr>
      </w:pPr>
    </w:p>
    <w:p w14:paraId="2E5B2DB7" w14:textId="258C3230" w:rsidR="007C587F" w:rsidRDefault="007C587F" w:rsidP="004E77D6">
      <w:pPr>
        <w:widowControl w:val="0"/>
        <w:ind w:firstLine="720"/>
        <w:jc w:val="both"/>
        <w:rPr>
          <w:rFonts w:ascii="Times New Roman" w:hAnsi="Times New Roman" w:cs="Times New Roman"/>
        </w:rPr>
      </w:pPr>
      <w:r w:rsidRPr="00617A78">
        <w:rPr>
          <w:rFonts w:ascii="Times New Roman" w:hAnsi="Times New Roman" w:cs="Times New Roman"/>
        </w:rPr>
        <w:t xml:space="preserve">The Fifth Circuit in </w:t>
      </w:r>
      <w:r w:rsidRPr="00617A78">
        <w:rPr>
          <w:rFonts w:ascii="Times New Roman" w:hAnsi="Times New Roman" w:cs="Times New Roman"/>
          <w:i/>
        </w:rPr>
        <w:t xml:space="preserve">Citigroup Global Markets, Inc. v. Bacon </w:t>
      </w:r>
      <w:r w:rsidRPr="00617A78">
        <w:rPr>
          <w:rFonts w:ascii="Times New Roman" w:hAnsi="Times New Roman" w:cs="Times New Roman"/>
        </w:rPr>
        <w:t xml:space="preserve">addressed the issue of “whether manifest disregard of the law remains a valid ground for </w:t>
      </w:r>
      <w:proofErr w:type="spellStart"/>
      <w:r w:rsidRPr="00617A78">
        <w:rPr>
          <w:rFonts w:ascii="Times New Roman" w:hAnsi="Times New Roman" w:cs="Times New Roman"/>
        </w:rPr>
        <w:t>vacatur</w:t>
      </w:r>
      <w:proofErr w:type="spellEnd"/>
      <w:r w:rsidRPr="00617A78">
        <w:rPr>
          <w:rFonts w:ascii="Times New Roman" w:hAnsi="Times New Roman" w:cs="Times New Roman"/>
        </w:rPr>
        <w:t xml:space="preserve"> of an arbitration award in light of the Supreme Court’s recent decision in </w:t>
      </w:r>
      <w:r w:rsidRPr="00617A78">
        <w:rPr>
          <w:rFonts w:ascii="Times New Roman" w:hAnsi="Times New Roman" w:cs="Times New Roman"/>
          <w:i/>
        </w:rPr>
        <w:t>Hall Street</w:t>
      </w:r>
      <w:r w:rsidRPr="00617A78">
        <w:rPr>
          <w:rFonts w:ascii="Times New Roman" w:hAnsi="Times New Roman" w:cs="Times New Roman"/>
        </w:rPr>
        <w:t>….”</w:t>
      </w:r>
      <w:r w:rsidRPr="00617A78">
        <w:rPr>
          <w:rStyle w:val="FootnoteReference"/>
          <w:rFonts w:ascii="Times New Roman" w:hAnsi="Times New Roman" w:cs="Times New Roman"/>
        </w:rPr>
        <w:footnoteReference w:id="82"/>
      </w:r>
      <w:r w:rsidRPr="00617A78">
        <w:rPr>
          <w:rFonts w:ascii="Times New Roman" w:hAnsi="Times New Roman" w:cs="Times New Roman"/>
        </w:rPr>
        <w:t xml:space="preserve"> Relying on the history of the law of </w:t>
      </w:r>
      <w:proofErr w:type="spellStart"/>
      <w:r w:rsidRPr="00617A78">
        <w:rPr>
          <w:rFonts w:ascii="Times New Roman" w:hAnsi="Times New Roman" w:cs="Times New Roman"/>
        </w:rPr>
        <w:t>vac</w:t>
      </w:r>
      <w:r w:rsidR="00EC4CFF" w:rsidRPr="00617A78">
        <w:rPr>
          <w:rFonts w:ascii="Times New Roman" w:hAnsi="Times New Roman" w:cs="Times New Roman"/>
        </w:rPr>
        <w:t>a</w:t>
      </w:r>
      <w:r w:rsidRPr="00617A78">
        <w:rPr>
          <w:rFonts w:ascii="Times New Roman" w:hAnsi="Times New Roman" w:cs="Times New Roman"/>
        </w:rPr>
        <w:t>tur</w:t>
      </w:r>
      <w:proofErr w:type="spellEnd"/>
      <w:r w:rsidRPr="00617A78">
        <w:rPr>
          <w:rFonts w:ascii="Times New Roman" w:hAnsi="Times New Roman" w:cs="Times New Roman"/>
        </w:rPr>
        <w:t xml:space="preserve"> and the development of FAA,</w:t>
      </w:r>
      <w:bookmarkStart w:id="15" w:name="_Ref355712273"/>
      <w:r w:rsidRPr="00617A78">
        <w:rPr>
          <w:rStyle w:val="FootnoteReference"/>
          <w:rFonts w:ascii="Times New Roman" w:hAnsi="Times New Roman" w:cs="Times New Roman"/>
        </w:rPr>
        <w:footnoteReference w:id="83"/>
      </w:r>
      <w:bookmarkEnd w:id="15"/>
      <w:r w:rsidRPr="00617A78">
        <w:rPr>
          <w:rFonts w:ascii="Times New Roman" w:hAnsi="Times New Roman" w:cs="Times New Roman"/>
        </w:rPr>
        <w:t xml:space="preserve"> the court rejected manifest disregard as an independent, non-statutory ground for vacating arbitral awards.</w:t>
      </w:r>
      <w:r w:rsidRPr="00617A78">
        <w:rPr>
          <w:rStyle w:val="FootnoteReference"/>
          <w:rFonts w:ascii="Times New Roman" w:hAnsi="Times New Roman" w:cs="Times New Roman"/>
        </w:rPr>
        <w:footnoteReference w:id="84"/>
      </w:r>
      <w:r w:rsidRPr="00617A78">
        <w:rPr>
          <w:rFonts w:ascii="Times New Roman" w:hAnsi="Times New Roman" w:cs="Times New Roman"/>
        </w:rPr>
        <w:t xml:space="preserve"> In so holding, the court determined that the Supreme Court’s language in </w:t>
      </w:r>
      <w:r w:rsidRPr="00617A78">
        <w:rPr>
          <w:rFonts w:ascii="Times New Roman" w:hAnsi="Times New Roman" w:cs="Times New Roman"/>
          <w:i/>
        </w:rPr>
        <w:t xml:space="preserve">Hall Street </w:t>
      </w:r>
      <w:r w:rsidRPr="00617A78">
        <w:rPr>
          <w:rFonts w:ascii="Times New Roman" w:hAnsi="Times New Roman" w:cs="Times New Roman"/>
        </w:rPr>
        <w:t xml:space="preserve">made clear that the grounds for </w:t>
      </w:r>
      <w:proofErr w:type="spellStart"/>
      <w:r w:rsidRPr="00617A78">
        <w:rPr>
          <w:rFonts w:ascii="Times New Roman" w:hAnsi="Times New Roman" w:cs="Times New Roman"/>
        </w:rPr>
        <w:t>vacatur</w:t>
      </w:r>
      <w:proofErr w:type="spellEnd"/>
      <w:r w:rsidRPr="00617A78">
        <w:rPr>
          <w:rFonts w:ascii="Times New Roman" w:hAnsi="Times New Roman" w:cs="Times New Roman"/>
        </w:rPr>
        <w:t xml:space="preserve"> set forth in Section 10 of the FAA were exclusive.</w:t>
      </w:r>
      <w:r w:rsidRPr="00617A78">
        <w:rPr>
          <w:rStyle w:val="FootnoteReference"/>
          <w:rFonts w:ascii="Times New Roman" w:hAnsi="Times New Roman" w:cs="Times New Roman"/>
        </w:rPr>
        <w:footnoteReference w:id="85"/>
      </w:r>
      <w:r w:rsidRPr="00617A78">
        <w:rPr>
          <w:rFonts w:ascii="Times New Roman" w:hAnsi="Times New Roman" w:cs="Times New Roman"/>
        </w:rPr>
        <w:t xml:space="preserve"> As a result, the court concluded that “manifest disregard of the law as an independent, </w:t>
      </w:r>
      <w:proofErr w:type="spellStart"/>
      <w:r w:rsidRPr="00617A78">
        <w:rPr>
          <w:rFonts w:ascii="Times New Roman" w:hAnsi="Times New Roman" w:cs="Times New Roman"/>
        </w:rPr>
        <w:t>nonstatutory</w:t>
      </w:r>
      <w:proofErr w:type="spellEnd"/>
      <w:r w:rsidRPr="00617A78">
        <w:rPr>
          <w:rFonts w:ascii="Times New Roman" w:hAnsi="Times New Roman" w:cs="Times New Roman"/>
        </w:rPr>
        <w:t xml:space="preserve"> ground for setting aside an award must be abandoned and rejected.”</w:t>
      </w:r>
      <w:r w:rsidRPr="00617A78">
        <w:rPr>
          <w:rStyle w:val="FootnoteReference"/>
          <w:rFonts w:ascii="Times New Roman" w:hAnsi="Times New Roman" w:cs="Times New Roman"/>
        </w:rPr>
        <w:footnoteReference w:id="86"/>
      </w:r>
    </w:p>
    <w:p w14:paraId="659B77C9" w14:textId="77777777" w:rsidR="00AE391E" w:rsidRPr="00617A78" w:rsidRDefault="00AE391E" w:rsidP="004E77D6">
      <w:pPr>
        <w:widowControl w:val="0"/>
        <w:ind w:firstLine="720"/>
        <w:jc w:val="both"/>
        <w:rPr>
          <w:rFonts w:ascii="Times New Roman" w:hAnsi="Times New Roman" w:cs="Times New Roman"/>
        </w:rPr>
      </w:pPr>
    </w:p>
    <w:p w14:paraId="389DE49D" w14:textId="77777777" w:rsidR="007C587F" w:rsidRPr="00617A78" w:rsidRDefault="007C587F" w:rsidP="004E77D6">
      <w:pPr>
        <w:pStyle w:val="ListParagraph"/>
        <w:widowControl w:val="0"/>
        <w:numPr>
          <w:ilvl w:val="2"/>
          <w:numId w:val="1"/>
        </w:numPr>
        <w:rPr>
          <w:rFonts w:ascii="Times New Roman" w:hAnsi="Times New Roman" w:cs="Times New Roman"/>
          <w:u w:val="single"/>
        </w:rPr>
      </w:pPr>
      <w:r w:rsidRPr="00617A78">
        <w:rPr>
          <w:rFonts w:ascii="Times New Roman" w:hAnsi="Times New Roman" w:cs="Times New Roman"/>
          <w:i/>
        </w:rPr>
        <w:t>Eighth</w:t>
      </w:r>
      <w:r w:rsidRPr="00617A78">
        <w:rPr>
          <w:rFonts w:ascii="Times New Roman" w:hAnsi="Times New Roman" w:cs="Times New Roman"/>
        </w:rPr>
        <w:t xml:space="preserve"> </w:t>
      </w:r>
      <w:r w:rsidRPr="00617A78">
        <w:rPr>
          <w:rFonts w:ascii="Times New Roman" w:hAnsi="Times New Roman" w:cs="Times New Roman"/>
          <w:i/>
        </w:rPr>
        <w:t>Circuit</w:t>
      </w:r>
    </w:p>
    <w:p w14:paraId="1C582897" w14:textId="77777777" w:rsidR="007C587F" w:rsidRPr="00617A78" w:rsidRDefault="007C587F" w:rsidP="004E77D6">
      <w:pPr>
        <w:widowControl w:val="0"/>
        <w:ind w:left="1350"/>
        <w:rPr>
          <w:rFonts w:ascii="Times New Roman" w:hAnsi="Times New Roman" w:cs="Times New Roman"/>
          <w:u w:val="single"/>
        </w:rPr>
      </w:pPr>
    </w:p>
    <w:p w14:paraId="48B1B4BE" w14:textId="77777777" w:rsidR="004E77D6" w:rsidRDefault="007C587F" w:rsidP="00F51D28">
      <w:pPr>
        <w:widowControl w:val="0"/>
        <w:ind w:firstLine="720"/>
        <w:jc w:val="both"/>
        <w:rPr>
          <w:rFonts w:ascii="Times New Roman" w:hAnsi="Times New Roman" w:cs="Times New Roman"/>
        </w:rPr>
      </w:pPr>
      <w:r w:rsidRPr="00617A78">
        <w:rPr>
          <w:rFonts w:ascii="Times New Roman" w:hAnsi="Times New Roman" w:cs="Times New Roman"/>
        </w:rPr>
        <w:t xml:space="preserve">In </w:t>
      </w:r>
      <w:r w:rsidRPr="00617A78">
        <w:rPr>
          <w:rFonts w:ascii="Times New Roman" w:hAnsi="Times New Roman" w:cs="Times New Roman"/>
          <w:i/>
          <w:iCs/>
        </w:rPr>
        <w:t xml:space="preserve">Med. Shoppe Int'l, Inc. v. Turner </w:t>
      </w:r>
      <w:proofErr w:type="spellStart"/>
      <w:r w:rsidRPr="00617A78">
        <w:rPr>
          <w:rFonts w:ascii="Times New Roman" w:hAnsi="Times New Roman" w:cs="Times New Roman"/>
          <w:i/>
          <w:iCs/>
        </w:rPr>
        <w:t>Invs</w:t>
      </w:r>
      <w:proofErr w:type="spellEnd"/>
      <w:r w:rsidRPr="00617A78">
        <w:rPr>
          <w:rFonts w:ascii="Times New Roman" w:hAnsi="Times New Roman" w:cs="Times New Roman"/>
          <w:i/>
          <w:iCs/>
        </w:rPr>
        <w:t>., Inc.</w:t>
      </w:r>
      <w:r w:rsidRPr="00617A78">
        <w:rPr>
          <w:rFonts w:ascii="Times New Roman" w:hAnsi="Times New Roman" w:cs="Times New Roman"/>
        </w:rPr>
        <w:t>, the Eighth Circuit confirmed its view that the bases for vacating an arbitral award are limited to the express grounds set forth in the FAA.</w:t>
      </w:r>
      <w:r w:rsidRPr="00617A78">
        <w:rPr>
          <w:rStyle w:val="FootnoteReference"/>
          <w:rFonts w:ascii="Times New Roman" w:hAnsi="Times New Roman" w:cs="Times New Roman"/>
        </w:rPr>
        <w:footnoteReference w:id="87"/>
      </w:r>
      <w:r w:rsidRPr="00617A78">
        <w:rPr>
          <w:rFonts w:ascii="Times New Roman" w:hAnsi="Times New Roman" w:cs="Times New Roman"/>
        </w:rPr>
        <w:t xml:space="preserve"> According to </w:t>
      </w:r>
      <w:r w:rsidR="00595F3D" w:rsidRPr="00617A78">
        <w:rPr>
          <w:rFonts w:ascii="Times New Roman" w:hAnsi="Times New Roman" w:cs="Times New Roman"/>
        </w:rPr>
        <w:t xml:space="preserve">Stanley </w:t>
      </w:r>
      <w:proofErr w:type="spellStart"/>
      <w:r w:rsidRPr="00617A78">
        <w:rPr>
          <w:rFonts w:ascii="Times New Roman" w:hAnsi="Times New Roman" w:cs="Times New Roman"/>
        </w:rPr>
        <w:t>Leasure</w:t>
      </w:r>
      <w:proofErr w:type="spellEnd"/>
      <w:r w:rsidRPr="00617A78">
        <w:rPr>
          <w:rFonts w:ascii="Times New Roman" w:hAnsi="Times New Roman" w:cs="Times New Roman"/>
        </w:rPr>
        <w:t xml:space="preserve">, the court further confirmed “its understanding that </w:t>
      </w:r>
      <w:r w:rsidRPr="00617A78">
        <w:rPr>
          <w:rFonts w:ascii="Times New Roman" w:hAnsi="Times New Roman" w:cs="Times New Roman"/>
          <w:i/>
        </w:rPr>
        <w:t xml:space="preserve">Hall Street’s </w:t>
      </w:r>
      <w:r w:rsidRPr="00617A78">
        <w:rPr>
          <w:rFonts w:ascii="Times New Roman" w:hAnsi="Times New Roman" w:cs="Times New Roman"/>
        </w:rPr>
        <w:t xml:space="preserve">practical effect was to establish the grounds specifically enumerated in the FAA as the exclusive grounds for </w:t>
      </w:r>
      <w:proofErr w:type="spellStart"/>
      <w:r w:rsidRPr="00617A78">
        <w:rPr>
          <w:rFonts w:ascii="Times New Roman" w:hAnsi="Times New Roman" w:cs="Times New Roman"/>
        </w:rPr>
        <w:t>vac</w:t>
      </w:r>
      <w:r w:rsidR="00F3268E" w:rsidRPr="00617A78">
        <w:rPr>
          <w:rFonts w:ascii="Times New Roman" w:hAnsi="Times New Roman" w:cs="Times New Roman"/>
        </w:rPr>
        <w:t>a</w:t>
      </w:r>
      <w:r w:rsidRPr="00617A78">
        <w:rPr>
          <w:rFonts w:ascii="Times New Roman" w:hAnsi="Times New Roman" w:cs="Times New Roman"/>
        </w:rPr>
        <w:t>tur</w:t>
      </w:r>
      <w:proofErr w:type="spellEnd"/>
      <w:r w:rsidRPr="00617A78">
        <w:rPr>
          <w:rFonts w:ascii="Times New Roman" w:hAnsi="Times New Roman" w:cs="Times New Roman"/>
        </w:rPr>
        <w:t>.”</w:t>
      </w:r>
      <w:r w:rsidRPr="00617A78">
        <w:rPr>
          <w:rStyle w:val="FootnoteReference"/>
          <w:rFonts w:ascii="Times New Roman" w:hAnsi="Times New Roman" w:cs="Times New Roman"/>
        </w:rPr>
        <w:footnoteReference w:id="88"/>
      </w:r>
      <w:r w:rsidRPr="00617A78">
        <w:rPr>
          <w:rFonts w:ascii="Times New Roman" w:hAnsi="Times New Roman" w:cs="Times New Roman"/>
        </w:rPr>
        <w:t xml:space="preserve"> Accordingly, the court concluded that appellant’s claim that the arbitrator manifestly disregarded the law was “not cognizable” since such ground was “not included among those specifically enumerated in §10….”</w:t>
      </w:r>
      <w:r w:rsidRPr="00617A78">
        <w:rPr>
          <w:rStyle w:val="FootnoteReference"/>
          <w:rFonts w:ascii="Times New Roman" w:hAnsi="Times New Roman" w:cs="Times New Roman"/>
        </w:rPr>
        <w:footnoteReference w:id="89"/>
      </w:r>
      <w:r w:rsidRPr="00617A78">
        <w:rPr>
          <w:rFonts w:ascii="Times New Roman" w:hAnsi="Times New Roman" w:cs="Times New Roman"/>
        </w:rPr>
        <w:t xml:space="preserve"> The court reaffirmed its position in </w:t>
      </w:r>
      <w:r w:rsidRPr="00617A78">
        <w:rPr>
          <w:rFonts w:ascii="Times New Roman" w:hAnsi="Times New Roman" w:cs="Times New Roman"/>
          <w:i/>
        </w:rPr>
        <w:t>Air Line Pilots v. Trans State</w:t>
      </w:r>
      <w:r w:rsidRPr="00617A78">
        <w:rPr>
          <w:rFonts w:ascii="Times New Roman" w:hAnsi="Times New Roman" w:cs="Times New Roman"/>
        </w:rPr>
        <w:t xml:space="preserve">, where the court described manifest disregard as a “defunct </w:t>
      </w:r>
      <w:proofErr w:type="spellStart"/>
      <w:r w:rsidRPr="00617A78">
        <w:rPr>
          <w:rFonts w:ascii="Times New Roman" w:hAnsi="Times New Roman" w:cs="Times New Roman"/>
        </w:rPr>
        <w:t>vacatur</w:t>
      </w:r>
      <w:proofErr w:type="spellEnd"/>
      <w:r w:rsidRPr="00617A78">
        <w:rPr>
          <w:rFonts w:ascii="Times New Roman" w:hAnsi="Times New Roman" w:cs="Times New Roman"/>
        </w:rPr>
        <w:t xml:space="preserve"> standard.”</w:t>
      </w:r>
      <w:r w:rsidRPr="00617A78">
        <w:rPr>
          <w:rStyle w:val="FootnoteReference"/>
          <w:rFonts w:ascii="Times New Roman" w:hAnsi="Times New Roman" w:cs="Times New Roman"/>
        </w:rPr>
        <w:footnoteReference w:id="90"/>
      </w:r>
      <w:r w:rsidRPr="00617A78">
        <w:rPr>
          <w:rFonts w:ascii="Times New Roman" w:hAnsi="Times New Roman" w:cs="Times New Roman"/>
        </w:rPr>
        <w:t xml:space="preserve"> The court’s reasoning, John and Ari </w:t>
      </w:r>
      <w:proofErr w:type="spellStart"/>
      <w:r w:rsidR="00E97758" w:rsidRPr="00617A78">
        <w:rPr>
          <w:rFonts w:ascii="Times New Roman" w:hAnsi="Times New Roman" w:cs="Times New Roman"/>
        </w:rPr>
        <w:t>Diaconis</w:t>
      </w:r>
      <w:proofErr w:type="spellEnd"/>
      <w:r w:rsidRPr="00617A78">
        <w:rPr>
          <w:rFonts w:ascii="Times New Roman" w:hAnsi="Times New Roman" w:cs="Times New Roman"/>
        </w:rPr>
        <w:t xml:space="preserve"> suggest, was “that manifest disregard is a non-statutory ground for </w:t>
      </w:r>
      <w:proofErr w:type="spellStart"/>
      <w:r w:rsidRPr="00617A78">
        <w:rPr>
          <w:rFonts w:ascii="Times New Roman" w:hAnsi="Times New Roman" w:cs="Times New Roman"/>
        </w:rPr>
        <w:t>vacatur</w:t>
      </w:r>
      <w:proofErr w:type="spellEnd"/>
      <w:r w:rsidR="002300EF" w:rsidRPr="00617A78">
        <w:rPr>
          <w:rFonts w:ascii="Times New Roman" w:hAnsi="Times New Roman" w:cs="Times New Roman"/>
        </w:rPr>
        <w:t xml:space="preserve"> </w:t>
      </w:r>
      <w:r w:rsidRPr="00617A78">
        <w:rPr>
          <w:rFonts w:ascii="Times New Roman" w:hAnsi="Times New Roman" w:cs="Times New Roman"/>
        </w:rPr>
        <w:t xml:space="preserve">and thus impermissible under </w:t>
      </w:r>
      <w:r w:rsidRPr="00617A78">
        <w:rPr>
          <w:rFonts w:ascii="Times New Roman" w:hAnsi="Times New Roman" w:cs="Times New Roman"/>
          <w:i/>
        </w:rPr>
        <w:t xml:space="preserve">Hall Street’s </w:t>
      </w:r>
      <w:r w:rsidR="008338D3" w:rsidRPr="00617A78">
        <w:rPr>
          <w:rFonts w:ascii="Times New Roman" w:hAnsi="Times New Roman" w:cs="Times New Roman"/>
        </w:rPr>
        <w:t>pronouncement</w:t>
      </w:r>
      <w:r w:rsidRPr="00617A78">
        <w:rPr>
          <w:rFonts w:ascii="Times New Roman" w:hAnsi="Times New Roman" w:cs="Times New Roman"/>
        </w:rPr>
        <w:t xml:space="preserve"> that FAA Section 10 is to be read </w:t>
      </w:r>
      <w:r w:rsidR="00EC4CFF" w:rsidRPr="00617A78">
        <w:rPr>
          <w:rFonts w:ascii="Times New Roman" w:hAnsi="Times New Roman" w:cs="Times New Roman"/>
        </w:rPr>
        <w:t>exclusively</w:t>
      </w:r>
      <w:r w:rsidRPr="00617A78">
        <w:rPr>
          <w:rFonts w:ascii="Times New Roman" w:hAnsi="Times New Roman" w:cs="Times New Roman"/>
        </w:rPr>
        <w:t>.”</w:t>
      </w:r>
      <w:r w:rsidRPr="00617A78">
        <w:rPr>
          <w:rStyle w:val="FootnoteReference"/>
          <w:rFonts w:ascii="Times New Roman" w:hAnsi="Times New Roman" w:cs="Times New Roman"/>
        </w:rPr>
        <w:footnoteReference w:id="91"/>
      </w:r>
      <w:r w:rsidRPr="00617A78">
        <w:rPr>
          <w:rFonts w:ascii="Times New Roman" w:hAnsi="Times New Roman" w:cs="Times New Roman"/>
        </w:rPr>
        <w:t xml:space="preserve"> </w:t>
      </w:r>
    </w:p>
    <w:p w14:paraId="7D19DC41" w14:textId="646FCBC4" w:rsidR="007C587F" w:rsidRPr="00617A78" w:rsidRDefault="007C587F" w:rsidP="004E77D6">
      <w:pPr>
        <w:widowControl w:val="0"/>
        <w:ind w:firstLine="720"/>
        <w:jc w:val="both"/>
        <w:rPr>
          <w:rFonts w:ascii="Times New Roman" w:hAnsi="Times New Roman" w:cs="Times New Roman"/>
        </w:rPr>
      </w:pPr>
      <w:r w:rsidRPr="00617A78">
        <w:rPr>
          <w:rFonts w:ascii="Times New Roman" w:hAnsi="Times New Roman" w:cs="Times New Roman"/>
        </w:rPr>
        <w:t xml:space="preserve"> </w:t>
      </w:r>
    </w:p>
    <w:p w14:paraId="64239AAE" w14:textId="77777777" w:rsidR="007C587F" w:rsidRPr="00617A78" w:rsidRDefault="007C587F" w:rsidP="004E77D6">
      <w:pPr>
        <w:pStyle w:val="ListParagraph"/>
        <w:widowControl w:val="0"/>
        <w:numPr>
          <w:ilvl w:val="2"/>
          <w:numId w:val="1"/>
        </w:numPr>
        <w:rPr>
          <w:rFonts w:ascii="Times New Roman" w:hAnsi="Times New Roman" w:cs="Times New Roman"/>
          <w:u w:val="single"/>
        </w:rPr>
      </w:pPr>
      <w:r w:rsidRPr="00617A78">
        <w:rPr>
          <w:rFonts w:ascii="Times New Roman" w:hAnsi="Times New Roman" w:cs="Times New Roman"/>
          <w:i/>
        </w:rPr>
        <w:t>Eleventh Circuit</w:t>
      </w:r>
    </w:p>
    <w:p w14:paraId="44F1E2CC" w14:textId="77777777" w:rsidR="007C587F" w:rsidRPr="00617A78" w:rsidRDefault="007C587F" w:rsidP="004E77D6">
      <w:pPr>
        <w:pStyle w:val="ListParagraph"/>
        <w:widowControl w:val="0"/>
        <w:ind w:left="1530"/>
        <w:rPr>
          <w:rFonts w:ascii="Times New Roman" w:hAnsi="Times New Roman" w:cs="Times New Roman"/>
          <w:u w:val="single"/>
        </w:rPr>
      </w:pPr>
    </w:p>
    <w:p w14:paraId="0E9680EE" w14:textId="77777777" w:rsidR="007C587F" w:rsidRDefault="007C587F" w:rsidP="00F51D28">
      <w:pPr>
        <w:widowControl w:val="0"/>
        <w:ind w:firstLine="720"/>
        <w:jc w:val="both"/>
        <w:rPr>
          <w:rFonts w:ascii="Times New Roman" w:hAnsi="Times New Roman" w:cs="Times New Roman"/>
        </w:rPr>
      </w:pPr>
      <w:r w:rsidRPr="00617A78">
        <w:rPr>
          <w:rFonts w:ascii="Times New Roman" w:hAnsi="Times New Roman" w:cs="Times New Roman"/>
        </w:rPr>
        <w:t xml:space="preserve">In </w:t>
      </w:r>
      <w:r w:rsidRPr="00617A78">
        <w:rPr>
          <w:rFonts w:ascii="Times New Roman" w:hAnsi="Times New Roman" w:cs="Times New Roman"/>
          <w:i/>
        </w:rPr>
        <w:t>Frazier v. CitiFinancial Corp.</w:t>
      </w:r>
      <w:r w:rsidRPr="00617A78">
        <w:rPr>
          <w:rFonts w:ascii="Times New Roman" w:hAnsi="Times New Roman" w:cs="Times New Roman"/>
        </w:rPr>
        <w:t xml:space="preserve"> the Eleventh Circuit adopted the Fifth Circuit’s position regarding the viability of manifest disregard.</w:t>
      </w:r>
      <w:r w:rsidRPr="00617A78">
        <w:rPr>
          <w:rStyle w:val="FootnoteReference"/>
          <w:rFonts w:ascii="Times New Roman" w:hAnsi="Times New Roman" w:cs="Times New Roman"/>
        </w:rPr>
        <w:footnoteReference w:id="92"/>
      </w:r>
      <w:r w:rsidRPr="00617A78">
        <w:rPr>
          <w:rFonts w:ascii="Times New Roman" w:hAnsi="Times New Roman" w:cs="Times New Roman"/>
        </w:rPr>
        <w:t xml:space="preserve"> The court held that manifest disregard, as a “judicially-created” basis for </w:t>
      </w:r>
      <w:proofErr w:type="spellStart"/>
      <w:r w:rsidRPr="00617A78">
        <w:rPr>
          <w:rFonts w:ascii="Times New Roman" w:hAnsi="Times New Roman" w:cs="Times New Roman"/>
        </w:rPr>
        <w:t>vacatur</w:t>
      </w:r>
      <w:proofErr w:type="spellEnd"/>
      <w:r w:rsidRPr="00617A78">
        <w:rPr>
          <w:rFonts w:ascii="Times New Roman" w:hAnsi="Times New Roman" w:cs="Times New Roman"/>
        </w:rPr>
        <w:t xml:space="preserve">, was “no longer valid in light of” the Supreme Court’s decision in </w:t>
      </w:r>
      <w:r w:rsidRPr="00617A78">
        <w:rPr>
          <w:rFonts w:ascii="Times New Roman" w:hAnsi="Times New Roman" w:cs="Times New Roman"/>
          <w:i/>
        </w:rPr>
        <w:lastRenderedPageBreak/>
        <w:t>Hall Street</w:t>
      </w:r>
      <w:r w:rsidRPr="00617A78">
        <w:rPr>
          <w:rFonts w:ascii="Times New Roman" w:hAnsi="Times New Roman" w:cs="Times New Roman"/>
        </w:rPr>
        <w:t>.</w:t>
      </w:r>
      <w:r w:rsidRPr="00617A78">
        <w:rPr>
          <w:rStyle w:val="FootnoteReference"/>
          <w:rFonts w:ascii="Times New Roman" w:hAnsi="Times New Roman" w:cs="Times New Roman"/>
        </w:rPr>
        <w:footnoteReference w:id="93"/>
      </w:r>
      <w:r w:rsidRPr="00617A78">
        <w:rPr>
          <w:rFonts w:ascii="Times New Roman" w:hAnsi="Times New Roman" w:cs="Times New Roman"/>
        </w:rPr>
        <w:t xml:space="preserve"> In so holding, the court agreed with the Fifth Circuit “that the categorical language of [</w:t>
      </w:r>
      <w:r w:rsidRPr="00617A78">
        <w:rPr>
          <w:rFonts w:ascii="Times New Roman" w:hAnsi="Times New Roman" w:cs="Times New Roman"/>
          <w:i/>
        </w:rPr>
        <w:t>Hall Street</w:t>
      </w:r>
      <w:r w:rsidRPr="00617A78">
        <w:rPr>
          <w:rFonts w:ascii="Times New Roman" w:hAnsi="Times New Roman" w:cs="Times New Roman"/>
        </w:rPr>
        <w:t>] compels such a conclusion.”</w:t>
      </w:r>
      <w:r w:rsidRPr="00617A78">
        <w:rPr>
          <w:rStyle w:val="FootnoteReference"/>
          <w:rFonts w:ascii="Times New Roman" w:hAnsi="Times New Roman" w:cs="Times New Roman"/>
        </w:rPr>
        <w:footnoteReference w:id="94"/>
      </w:r>
      <w:r w:rsidRPr="00617A78">
        <w:rPr>
          <w:rFonts w:ascii="Times New Roman" w:hAnsi="Times New Roman" w:cs="Times New Roman"/>
        </w:rPr>
        <w:t xml:space="preserve"> The Eleventh Circuit reconfirmed this position in </w:t>
      </w:r>
      <w:r w:rsidRPr="00617A78">
        <w:rPr>
          <w:rFonts w:ascii="Times New Roman" w:hAnsi="Times New Roman" w:cs="Times New Roman"/>
          <w:i/>
        </w:rPr>
        <w:t>Campbell’s Foliage, Inc., v. Federal Corp Insurance Corp.</w:t>
      </w:r>
      <w:r w:rsidRPr="00617A78">
        <w:rPr>
          <w:rFonts w:ascii="Times New Roman" w:hAnsi="Times New Roman" w:cs="Times New Roman"/>
        </w:rPr>
        <w:t xml:space="preserve">, where that court determined that “the only viable ground for </w:t>
      </w:r>
      <w:proofErr w:type="spellStart"/>
      <w:r w:rsidRPr="00617A78">
        <w:rPr>
          <w:rFonts w:ascii="Times New Roman" w:hAnsi="Times New Roman" w:cs="Times New Roman"/>
        </w:rPr>
        <w:t>vacatur</w:t>
      </w:r>
      <w:proofErr w:type="spellEnd"/>
      <w:r w:rsidRPr="00617A78">
        <w:rPr>
          <w:rFonts w:ascii="Times New Roman" w:hAnsi="Times New Roman" w:cs="Times New Roman"/>
        </w:rPr>
        <w:t xml:space="preserve"> in [the Eleventh Circuit] were those enumerated in the FAA.”</w:t>
      </w:r>
      <w:r w:rsidRPr="00617A78">
        <w:rPr>
          <w:rStyle w:val="FootnoteReference"/>
          <w:rFonts w:ascii="Times New Roman" w:hAnsi="Times New Roman" w:cs="Times New Roman"/>
        </w:rPr>
        <w:footnoteReference w:id="95"/>
      </w:r>
    </w:p>
    <w:p w14:paraId="2FE909E0" w14:textId="77777777" w:rsidR="004E77D6" w:rsidRPr="00617A78" w:rsidRDefault="004E77D6" w:rsidP="004E77D6">
      <w:pPr>
        <w:widowControl w:val="0"/>
        <w:ind w:firstLine="720"/>
        <w:jc w:val="both"/>
        <w:rPr>
          <w:rFonts w:ascii="Times New Roman" w:hAnsi="Times New Roman" w:cs="Times New Roman"/>
        </w:rPr>
      </w:pPr>
    </w:p>
    <w:p w14:paraId="3EDCF59D" w14:textId="77777777" w:rsidR="007C587F" w:rsidRPr="00617A78" w:rsidRDefault="007C587F" w:rsidP="004E77D6">
      <w:pPr>
        <w:pStyle w:val="ListParagraph"/>
        <w:widowControl w:val="0"/>
        <w:numPr>
          <w:ilvl w:val="1"/>
          <w:numId w:val="1"/>
        </w:numPr>
        <w:rPr>
          <w:rFonts w:ascii="Times New Roman" w:hAnsi="Times New Roman" w:cs="Times New Roman"/>
          <w:u w:val="single"/>
        </w:rPr>
      </w:pPr>
      <w:r w:rsidRPr="00617A78">
        <w:rPr>
          <w:rFonts w:ascii="Times New Roman" w:hAnsi="Times New Roman" w:cs="Times New Roman"/>
          <w:u w:val="single"/>
        </w:rPr>
        <w:t xml:space="preserve">Non-Statutory </w:t>
      </w:r>
    </w:p>
    <w:p w14:paraId="3DC768FE" w14:textId="77777777" w:rsidR="007C587F" w:rsidRPr="00617A78" w:rsidRDefault="007C587F" w:rsidP="004E77D6">
      <w:pPr>
        <w:widowControl w:val="0"/>
        <w:rPr>
          <w:rFonts w:ascii="Times New Roman" w:hAnsi="Times New Roman" w:cs="Times New Roman"/>
          <w:u w:val="single"/>
        </w:rPr>
      </w:pPr>
    </w:p>
    <w:p w14:paraId="2613B3C3" w14:textId="19648E51" w:rsidR="007C587F" w:rsidRDefault="007C587F" w:rsidP="00F51D28">
      <w:pPr>
        <w:widowControl w:val="0"/>
        <w:ind w:firstLine="720"/>
        <w:jc w:val="both"/>
        <w:rPr>
          <w:rFonts w:ascii="Times New Roman" w:hAnsi="Times New Roman" w:cs="Times New Roman"/>
        </w:rPr>
      </w:pPr>
      <w:r w:rsidRPr="00617A78">
        <w:rPr>
          <w:rFonts w:ascii="Times New Roman" w:hAnsi="Times New Roman" w:cs="Times New Roman"/>
        </w:rPr>
        <w:t xml:space="preserve">The </w:t>
      </w:r>
      <w:r w:rsidR="004134D6" w:rsidRPr="00617A78">
        <w:rPr>
          <w:rFonts w:ascii="Times New Roman" w:hAnsi="Times New Roman" w:cs="Times New Roman"/>
        </w:rPr>
        <w:t>Sixth Circuit is the only circuit to maintain its pre-</w:t>
      </w:r>
      <w:r w:rsidR="004134D6" w:rsidRPr="00617A78">
        <w:rPr>
          <w:rFonts w:ascii="Times New Roman" w:hAnsi="Times New Roman" w:cs="Times New Roman"/>
          <w:i/>
        </w:rPr>
        <w:t xml:space="preserve">Hall Street </w:t>
      </w:r>
      <w:r w:rsidR="004134D6" w:rsidRPr="00617A78">
        <w:rPr>
          <w:rFonts w:ascii="Times New Roman" w:hAnsi="Times New Roman" w:cs="Times New Roman"/>
        </w:rPr>
        <w:t>position</w:t>
      </w:r>
      <w:r w:rsidR="000F56AD" w:rsidRPr="00617A78">
        <w:rPr>
          <w:rFonts w:ascii="Times New Roman" w:hAnsi="Times New Roman" w:cs="Times New Roman"/>
        </w:rPr>
        <w:t xml:space="preserve"> that the </w:t>
      </w:r>
      <w:r w:rsidR="004134D6" w:rsidRPr="00617A78">
        <w:rPr>
          <w:rFonts w:ascii="Times New Roman" w:hAnsi="Times New Roman" w:cs="Times New Roman"/>
        </w:rPr>
        <w:t xml:space="preserve">doctrine of manifest disregard </w:t>
      </w:r>
      <w:r w:rsidR="00E97758" w:rsidRPr="00617A78">
        <w:rPr>
          <w:rFonts w:ascii="Times New Roman" w:hAnsi="Times New Roman" w:cs="Times New Roman"/>
        </w:rPr>
        <w:t>exists as</w:t>
      </w:r>
      <w:r w:rsidR="004134D6" w:rsidRPr="00617A78">
        <w:rPr>
          <w:rFonts w:ascii="Times New Roman" w:hAnsi="Times New Roman" w:cs="Times New Roman"/>
        </w:rPr>
        <w:t xml:space="preserve"> a non-</w:t>
      </w:r>
      <w:r w:rsidR="000F56AD" w:rsidRPr="00617A78">
        <w:rPr>
          <w:rFonts w:ascii="Times New Roman" w:hAnsi="Times New Roman" w:cs="Times New Roman"/>
        </w:rPr>
        <w:t>statutory</w:t>
      </w:r>
      <w:r w:rsidR="004134D6" w:rsidRPr="00617A78">
        <w:rPr>
          <w:rFonts w:ascii="Times New Roman" w:hAnsi="Times New Roman" w:cs="Times New Roman"/>
        </w:rPr>
        <w:t>, common-law, ground for vac</w:t>
      </w:r>
      <w:r w:rsidR="000F56AD" w:rsidRPr="00617A78">
        <w:rPr>
          <w:rFonts w:ascii="Times New Roman" w:hAnsi="Times New Roman" w:cs="Times New Roman"/>
        </w:rPr>
        <w:t>a</w:t>
      </w:r>
      <w:r w:rsidR="004134D6" w:rsidRPr="00617A78">
        <w:rPr>
          <w:rFonts w:ascii="Times New Roman" w:hAnsi="Times New Roman" w:cs="Times New Roman"/>
        </w:rPr>
        <w:t xml:space="preserve">ting arbitral awards. </w:t>
      </w:r>
      <w:r w:rsidR="00595F3D" w:rsidRPr="00617A78">
        <w:rPr>
          <w:rFonts w:ascii="Times New Roman" w:hAnsi="Times New Roman" w:cs="Times New Roman"/>
        </w:rPr>
        <w:t>T</w:t>
      </w:r>
      <w:r w:rsidRPr="00617A78">
        <w:rPr>
          <w:rFonts w:ascii="Times New Roman" w:hAnsi="Times New Roman" w:cs="Times New Roman"/>
        </w:rPr>
        <w:t xml:space="preserve">his </w:t>
      </w:r>
      <w:r w:rsidR="00EA6D0F" w:rsidRPr="00617A78">
        <w:rPr>
          <w:rFonts w:ascii="Times New Roman" w:hAnsi="Times New Roman" w:cs="Times New Roman"/>
        </w:rPr>
        <w:t xml:space="preserve">section </w:t>
      </w:r>
      <w:r w:rsidRPr="00617A78">
        <w:rPr>
          <w:rFonts w:ascii="Times New Roman" w:hAnsi="Times New Roman" w:cs="Times New Roman"/>
        </w:rPr>
        <w:t>examine</w:t>
      </w:r>
      <w:r w:rsidR="00595F3D" w:rsidRPr="00617A78">
        <w:rPr>
          <w:rFonts w:ascii="Times New Roman" w:hAnsi="Times New Roman" w:cs="Times New Roman"/>
        </w:rPr>
        <w:t>s</w:t>
      </w:r>
      <w:r w:rsidR="000F56AD" w:rsidRPr="00617A78">
        <w:rPr>
          <w:rFonts w:ascii="Times New Roman" w:hAnsi="Times New Roman" w:cs="Times New Roman"/>
        </w:rPr>
        <w:t xml:space="preserve"> Sixth Circuit</w:t>
      </w:r>
      <w:r w:rsidRPr="00617A78">
        <w:rPr>
          <w:rFonts w:ascii="Times New Roman" w:hAnsi="Times New Roman" w:cs="Times New Roman"/>
        </w:rPr>
        <w:t xml:space="preserve"> decisions </w:t>
      </w:r>
      <w:r w:rsidR="000F56AD" w:rsidRPr="00617A78">
        <w:rPr>
          <w:rFonts w:ascii="Times New Roman" w:hAnsi="Times New Roman" w:cs="Times New Roman"/>
        </w:rPr>
        <w:t xml:space="preserve">illustrating the circuit’s view that </w:t>
      </w:r>
      <w:r w:rsidRPr="00617A78">
        <w:rPr>
          <w:rFonts w:ascii="Times New Roman" w:hAnsi="Times New Roman" w:cs="Times New Roman"/>
        </w:rPr>
        <w:t>manifest disregard</w:t>
      </w:r>
      <w:r w:rsidR="000F56AD" w:rsidRPr="00617A78">
        <w:rPr>
          <w:rFonts w:ascii="Times New Roman" w:hAnsi="Times New Roman" w:cs="Times New Roman"/>
        </w:rPr>
        <w:t xml:space="preserve"> remains a viable non-statutory means for </w:t>
      </w:r>
      <w:proofErr w:type="spellStart"/>
      <w:r w:rsidR="000F56AD" w:rsidRPr="00617A78">
        <w:rPr>
          <w:rFonts w:ascii="Times New Roman" w:hAnsi="Times New Roman" w:cs="Times New Roman"/>
        </w:rPr>
        <w:t>vacatur</w:t>
      </w:r>
      <w:proofErr w:type="spellEnd"/>
      <w:r w:rsidR="000F56AD" w:rsidRPr="00617A78">
        <w:rPr>
          <w:rFonts w:ascii="Times New Roman" w:hAnsi="Times New Roman" w:cs="Times New Roman"/>
        </w:rPr>
        <w:t xml:space="preserve">. </w:t>
      </w:r>
      <w:r w:rsidRPr="00617A78">
        <w:rPr>
          <w:rFonts w:ascii="Times New Roman" w:hAnsi="Times New Roman" w:cs="Times New Roman"/>
        </w:rPr>
        <w:t xml:space="preserve"> </w:t>
      </w:r>
    </w:p>
    <w:p w14:paraId="1A2CB0E4" w14:textId="77777777" w:rsidR="004E77D6" w:rsidRPr="00617A78" w:rsidRDefault="004E77D6" w:rsidP="004E77D6">
      <w:pPr>
        <w:widowControl w:val="0"/>
        <w:ind w:firstLine="720"/>
        <w:jc w:val="both"/>
        <w:rPr>
          <w:rFonts w:ascii="Times New Roman" w:hAnsi="Times New Roman" w:cs="Times New Roman"/>
        </w:rPr>
      </w:pPr>
    </w:p>
    <w:p w14:paraId="5CE4115C" w14:textId="77777777" w:rsidR="007C587F" w:rsidRPr="00617A78" w:rsidRDefault="007C587F" w:rsidP="004E77D6">
      <w:pPr>
        <w:pStyle w:val="ListParagraph"/>
        <w:widowControl w:val="0"/>
        <w:numPr>
          <w:ilvl w:val="2"/>
          <w:numId w:val="1"/>
        </w:numPr>
        <w:rPr>
          <w:rFonts w:ascii="Times New Roman" w:hAnsi="Times New Roman" w:cs="Times New Roman"/>
          <w:i/>
        </w:rPr>
      </w:pPr>
      <w:r w:rsidRPr="00617A78">
        <w:rPr>
          <w:rFonts w:ascii="Times New Roman" w:hAnsi="Times New Roman" w:cs="Times New Roman"/>
          <w:i/>
        </w:rPr>
        <w:t xml:space="preserve">Sixth Circuit </w:t>
      </w:r>
    </w:p>
    <w:p w14:paraId="347AE83D" w14:textId="77777777" w:rsidR="007C587F" w:rsidRPr="00617A78" w:rsidRDefault="007C587F" w:rsidP="004E77D6">
      <w:pPr>
        <w:widowControl w:val="0"/>
        <w:rPr>
          <w:rFonts w:ascii="Times New Roman" w:hAnsi="Times New Roman" w:cs="Times New Roman"/>
        </w:rPr>
      </w:pPr>
    </w:p>
    <w:p w14:paraId="6A2C42A0" w14:textId="3FFBF4F5" w:rsidR="007C587F" w:rsidRDefault="007C587F" w:rsidP="00F51D28">
      <w:pPr>
        <w:widowControl w:val="0"/>
        <w:ind w:firstLine="720"/>
        <w:jc w:val="both"/>
        <w:rPr>
          <w:rFonts w:ascii="Times New Roman" w:hAnsi="Times New Roman" w:cs="Times New Roman"/>
        </w:rPr>
      </w:pPr>
      <w:r w:rsidRPr="00617A78">
        <w:rPr>
          <w:rFonts w:ascii="Times New Roman" w:hAnsi="Times New Roman" w:cs="Times New Roman"/>
        </w:rPr>
        <w:t xml:space="preserve">In </w:t>
      </w:r>
      <w:r w:rsidRPr="00617A78">
        <w:rPr>
          <w:rFonts w:ascii="Times New Roman" w:hAnsi="Times New Roman" w:cs="Times New Roman"/>
          <w:i/>
        </w:rPr>
        <w:t>Grain v. Trinity Health</w:t>
      </w:r>
      <w:r w:rsidRPr="00617A78">
        <w:rPr>
          <w:rFonts w:ascii="Times New Roman" w:hAnsi="Times New Roman" w:cs="Times New Roman"/>
        </w:rPr>
        <w:t>,</w:t>
      </w:r>
      <w:r w:rsidRPr="00617A78">
        <w:rPr>
          <w:rFonts w:ascii="Times New Roman" w:hAnsi="Times New Roman" w:cs="Times New Roman"/>
          <w:i/>
        </w:rPr>
        <w:t xml:space="preserve"> </w:t>
      </w:r>
      <w:r w:rsidRPr="00617A78">
        <w:rPr>
          <w:rFonts w:ascii="Times New Roman" w:hAnsi="Times New Roman" w:cs="Times New Roman"/>
        </w:rPr>
        <w:t>the Sixth Circuit determined “that manifest disregard of the law is no longer a ground for modify an award;”</w:t>
      </w:r>
      <w:r w:rsidRPr="00617A78">
        <w:rPr>
          <w:rStyle w:val="FootnoteReference"/>
          <w:rFonts w:ascii="Times New Roman" w:hAnsi="Times New Roman" w:cs="Times New Roman"/>
        </w:rPr>
        <w:t xml:space="preserve"> </w:t>
      </w:r>
      <w:bookmarkStart w:id="16" w:name="_Ref355713371"/>
      <w:r w:rsidRPr="00617A78">
        <w:rPr>
          <w:rStyle w:val="FootnoteReference"/>
          <w:rFonts w:ascii="Times New Roman" w:hAnsi="Times New Roman" w:cs="Times New Roman"/>
        </w:rPr>
        <w:footnoteReference w:id="96"/>
      </w:r>
      <w:bookmarkEnd w:id="16"/>
      <w:r w:rsidRPr="00617A78">
        <w:rPr>
          <w:rFonts w:ascii="Times New Roman" w:hAnsi="Times New Roman" w:cs="Times New Roman"/>
        </w:rPr>
        <w:t xml:space="preserve"> however, the court did not determine whether or not the doctrine remains a viable means for </w:t>
      </w:r>
      <w:proofErr w:type="spellStart"/>
      <w:r w:rsidRPr="00617A78">
        <w:rPr>
          <w:rFonts w:ascii="Times New Roman" w:hAnsi="Times New Roman" w:cs="Times New Roman"/>
        </w:rPr>
        <w:t>vacatur</w:t>
      </w:r>
      <w:proofErr w:type="spellEnd"/>
      <w:r w:rsidRPr="00617A78">
        <w:rPr>
          <w:rFonts w:ascii="Times New Roman" w:hAnsi="Times New Roman" w:cs="Times New Roman"/>
        </w:rPr>
        <w:t xml:space="preserve">. According to John and Ari </w:t>
      </w:r>
      <w:proofErr w:type="spellStart"/>
      <w:r w:rsidR="004B43F7" w:rsidRPr="00617A78">
        <w:rPr>
          <w:rFonts w:ascii="Times New Roman" w:hAnsi="Times New Roman" w:cs="Times New Roman"/>
        </w:rPr>
        <w:t>Diaconis</w:t>
      </w:r>
      <w:proofErr w:type="spellEnd"/>
      <w:r w:rsidRPr="00617A78">
        <w:rPr>
          <w:rFonts w:ascii="Times New Roman" w:hAnsi="Times New Roman" w:cs="Times New Roman"/>
        </w:rPr>
        <w:t>, “[d]</w:t>
      </w:r>
      <w:proofErr w:type="spellStart"/>
      <w:r w:rsidRPr="00617A78">
        <w:rPr>
          <w:rFonts w:ascii="Times New Roman" w:hAnsi="Times New Roman" w:cs="Times New Roman"/>
        </w:rPr>
        <w:t>istrict</w:t>
      </w:r>
      <w:proofErr w:type="spellEnd"/>
      <w:r w:rsidRPr="00617A78">
        <w:rPr>
          <w:rFonts w:ascii="Times New Roman" w:hAnsi="Times New Roman" w:cs="Times New Roman"/>
        </w:rPr>
        <w:t xml:space="preserve"> courts within the Sixth Circuit seem to agree that manifest disregard has survived </w:t>
      </w:r>
      <w:r w:rsidRPr="00617A78">
        <w:rPr>
          <w:rFonts w:ascii="Times New Roman" w:hAnsi="Times New Roman" w:cs="Times New Roman"/>
          <w:i/>
        </w:rPr>
        <w:t>Hall Street</w:t>
      </w:r>
      <w:r w:rsidRPr="00617A78">
        <w:rPr>
          <w:rFonts w:ascii="Times New Roman" w:hAnsi="Times New Roman" w:cs="Times New Roman"/>
        </w:rPr>
        <w:t>.”</w:t>
      </w:r>
      <w:r w:rsidRPr="00617A78">
        <w:rPr>
          <w:rStyle w:val="FootnoteReference"/>
          <w:rFonts w:ascii="Times New Roman" w:hAnsi="Times New Roman" w:cs="Times New Roman"/>
        </w:rPr>
        <w:footnoteReference w:id="97"/>
      </w:r>
      <w:r w:rsidRPr="00617A78">
        <w:rPr>
          <w:rFonts w:ascii="Times New Roman" w:hAnsi="Times New Roman" w:cs="Times New Roman"/>
        </w:rPr>
        <w:t xml:space="preserve"> In support of this conclusion, the district courts cite the Sixth Circuit’s unpublished opinion in </w:t>
      </w:r>
      <w:r w:rsidRPr="00617A78">
        <w:rPr>
          <w:rFonts w:ascii="Times New Roman" w:hAnsi="Times New Roman" w:cs="Times New Roman"/>
          <w:i/>
        </w:rPr>
        <w:t>Coffee Beanery v. WW</w:t>
      </w:r>
      <w:r w:rsidRPr="00617A78">
        <w:rPr>
          <w:rFonts w:ascii="Times New Roman" w:hAnsi="Times New Roman" w:cs="Times New Roman"/>
        </w:rPr>
        <w:t>.</w:t>
      </w:r>
      <w:r w:rsidR="004B43F7" w:rsidRPr="00617A78">
        <w:rPr>
          <w:rStyle w:val="FootnoteReference"/>
          <w:rFonts w:ascii="Times New Roman" w:hAnsi="Times New Roman" w:cs="Times New Roman"/>
        </w:rPr>
        <w:footnoteReference w:id="98"/>
      </w:r>
      <w:r w:rsidRPr="00617A78">
        <w:rPr>
          <w:rFonts w:ascii="Times New Roman" w:hAnsi="Times New Roman" w:cs="Times New Roman"/>
        </w:rPr>
        <w:t xml:space="preserve"> There, the court held that application </w:t>
      </w:r>
      <w:r w:rsidR="00881E13" w:rsidRPr="00617A78">
        <w:rPr>
          <w:rFonts w:ascii="Times New Roman" w:hAnsi="Times New Roman" w:cs="Times New Roman"/>
        </w:rPr>
        <w:t xml:space="preserve">of </w:t>
      </w:r>
      <w:r w:rsidRPr="00617A78">
        <w:rPr>
          <w:rFonts w:ascii="Times New Roman" w:hAnsi="Times New Roman" w:cs="Times New Roman"/>
          <w:i/>
        </w:rPr>
        <w:t>Hall Street</w:t>
      </w:r>
      <w:r w:rsidR="00881E13" w:rsidRPr="00617A78">
        <w:rPr>
          <w:rFonts w:ascii="Times New Roman" w:hAnsi="Times New Roman" w:cs="Times New Roman"/>
          <w:i/>
        </w:rPr>
        <w:t xml:space="preserve"> </w:t>
      </w:r>
      <w:r w:rsidRPr="00617A78">
        <w:rPr>
          <w:rFonts w:ascii="Times New Roman" w:hAnsi="Times New Roman" w:cs="Times New Roman"/>
        </w:rPr>
        <w:t>is limited to circumstances involving contractual expansion of the grounds for review.</w:t>
      </w:r>
      <w:r w:rsidRPr="00617A78">
        <w:rPr>
          <w:rStyle w:val="FootnoteReference"/>
          <w:rFonts w:ascii="Times New Roman" w:hAnsi="Times New Roman" w:cs="Times New Roman"/>
        </w:rPr>
        <w:footnoteReference w:id="99"/>
      </w:r>
      <w:r w:rsidRPr="00617A78">
        <w:rPr>
          <w:rFonts w:ascii="Times New Roman" w:hAnsi="Times New Roman" w:cs="Times New Roman"/>
        </w:rPr>
        <w:t xml:space="preserve"> In so holding, the court acknowledged that </w:t>
      </w:r>
      <w:r w:rsidRPr="00617A78">
        <w:rPr>
          <w:rFonts w:ascii="Times New Roman" w:hAnsi="Times New Roman" w:cs="Times New Roman"/>
          <w:i/>
        </w:rPr>
        <w:t xml:space="preserve">Hall Street </w:t>
      </w:r>
      <w:r w:rsidRPr="00617A78">
        <w:rPr>
          <w:rFonts w:ascii="Times New Roman" w:hAnsi="Times New Roman" w:cs="Times New Roman"/>
        </w:rPr>
        <w:t xml:space="preserve">“significantly reduced the ability of federal courts to vacate arbitration </w:t>
      </w:r>
      <w:r w:rsidRPr="00617A78">
        <w:rPr>
          <w:rFonts w:ascii="Times New Roman" w:hAnsi="Times New Roman" w:cs="Times New Roman"/>
        </w:rPr>
        <w:lastRenderedPageBreak/>
        <w:t>awards for reasons other than those specified in 9 U.S.C. § 10,” however, the court found that “it did not foreclose federal courts’ review for an arbitrator's manifest disregard of the law.”</w:t>
      </w:r>
      <w:r w:rsidRPr="00617A78">
        <w:rPr>
          <w:rStyle w:val="FootnoteReference"/>
          <w:rFonts w:ascii="Times New Roman" w:hAnsi="Times New Roman" w:cs="Times New Roman"/>
        </w:rPr>
        <w:footnoteReference w:id="100"/>
      </w:r>
      <w:r w:rsidRPr="00617A78">
        <w:rPr>
          <w:rFonts w:ascii="Times New Roman" w:hAnsi="Times New Roman" w:cs="Times New Roman"/>
        </w:rPr>
        <w:t xml:space="preserve"> Consistent with this statement, the court found that, although its “ability to vacate an arbitration award is almost exclusively limited to these grounds</w:t>
      </w:r>
      <w:r w:rsidR="00172851">
        <w:rPr>
          <w:rFonts w:ascii="Times New Roman" w:hAnsi="Times New Roman" w:cs="Times New Roman"/>
        </w:rPr>
        <w:t xml:space="preserve"> </w:t>
      </w:r>
      <w:r w:rsidRPr="00617A78">
        <w:rPr>
          <w:rFonts w:ascii="Times New Roman" w:hAnsi="Times New Roman" w:cs="Times New Roman"/>
        </w:rPr>
        <w:t>…</w:t>
      </w:r>
      <w:r w:rsidR="00172851">
        <w:rPr>
          <w:rFonts w:ascii="Times New Roman" w:hAnsi="Times New Roman" w:cs="Times New Roman"/>
        </w:rPr>
        <w:t xml:space="preserve"> </w:t>
      </w:r>
      <w:r w:rsidRPr="00617A78">
        <w:rPr>
          <w:rFonts w:ascii="Times New Roman" w:hAnsi="Times New Roman" w:cs="Times New Roman"/>
        </w:rPr>
        <w:t>it may also vacate an award found to be in manifest disregard of the law.”</w:t>
      </w:r>
      <w:r w:rsidRPr="00617A78">
        <w:rPr>
          <w:rStyle w:val="FootnoteReference"/>
          <w:rFonts w:ascii="Times New Roman" w:hAnsi="Times New Roman" w:cs="Times New Roman"/>
        </w:rPr>
        <w:footnoteReference w:id="101"/>
      </w:r>
      <w:r w:rsidRPr="00617A78">
        <w:rPr>
          <w:rFonts w:ascii="Times New Roman" w:hAnsi="Times New Roman" w:cs="Times New Roman"/>
        </w:rPr>
        <w:t xml:space="preserve"> The court then endorsed the pre-</w:t>
      </w:r>
      <w:r w:rsidRPr="00617A78">
        <w:rPr>
          <w:rFonts w:ascii="Times New Roman" w:hAnsi="Times New Roman" w:cs="Times New Roman"/>
          <w:i/>
        </w:rPr>
        <w:t xml:space="preserve">Hall Street </w:t>
      </w:r>
      <w:r w:rsidRPr="00617A78">
        <w:rPr>
          <w:rFonts w:ascii="Times New Roman" w:hAnsi="Times New Roman" w:cs="Times New Roman"/>
        </w:rPr>
        <w:t>view that the doctrine of manifest disregard applies if “(1) the applicable legal principle is clearly defined and not subject to reasonable debate; and (2) the arbitrators refused to heed that legal principle.”</w:t>
      </w:r>
      <w:r w:rsidRPr="00617A78">
        <w:rPr>
          <w:rStyle w:val="FootnoteReference"/>
          <w:rFonts w:ascii="Times New Roman" w:hAnsi="Times New Roman" w:cs="Times New Roman"/>
        </w:rPr>
        <w:footnoteReference w:id="102"/>
      </w:r>
      <w:r w:rsidRPr="00617A78">
        <w:rPr>
          <w:rFonts w:ascii="Times New Roman" w:hAnsi="Times New Roman" w:cs="Times New Roman"/>
        </w:rPr>
        <w:t xml:space="preserve">  This indicates, as John and Ari </w:t>
      </w:r>
      <w:proofErr w:type="spellStart"/>
      <w:r w:rsidR="000D094A" w:rsidRPr="00617A78">
        <w:rPr>
          <w:rFonts w:ascii="Times New Roman" w:hAnsi="Times New Roman" w:cs="Times New Roman"/>
        </w:rPr>
        <w:t>Diaconis</w:t>
      </w:r>
      <w:proofErr w:type="spellEnd"/>
      <w:r w:rsidRPr="00617A78">
        <w:rPr>
          <w:rFonts w:ascii="Times New Roman" w:hAnsi="Times New Roman" w:cs="Times New Roman"/>
        </w:rPr>
        <w:t xml:space="preserve"> suggest, that the Sixth Circuit “recognizes manifest disregard as an independent ground for </w:t>
      </w:r>
      <w:proofErr w:type="spellStart"/>
      <w:r w:rsidRPr="00617A78">
        <w:rPr>
          <w:rFonts w:ascii="Times New Roman" w:hAnsi="Times New Roman" w:cs="Times New Roman"/>
        </w:rPr>
        <w:t>vacatur</w:t>
      </w:r>
      <w:proofErr w:type="spellEnd"/>
      <w:r w:rsidRPr="00617A78">
        <w:rPr>
          <w:rFonts w:ascii="Times New Roman" w:hAnsi="Times New Roman" w:cs="Times New Roman"/>
        </w:rPr>
        <w:t>, separate and apart from FAA Section 10.”</w:t>
      </w:r>
      <w:r w:rsidRPr="00617A78">
        <w:rPr>
          <w:rStyle w:val="FootnoteReference"/>
          <w:rFonts w:ascii="Times New Roman" w:hAnsi="Times New Roman" w:cs="Times New Roman"/>
        </w:rPr>
        <w:footnoteReference w:id="103"/>
      </w:r>
      <w:r w:rsidRPr="00617A78">
        <w:rPr>
          <w:rFonts w:ascii="Times New Roman" w:hAnsi="Times New Roman" w:cs="Times New Roman"/>
        </w:rPr>
        <w:t xml:space="preserve"> </w:t>
      </w:r>
    </w:p>
    <w:p w14:paraId="3F8ADE7D" w14:textId="77777777" w:rsidR="004E77D6" w:rsidRPr="00617A78" w:rsidRDefault="004E77D6" w:rsidP="004E77D6">
      <w:pPr>
        <w:widowControl w:val="0"/>
        <w:ind w:firstLine="720"/>
        <w:jc w:val="both"/>
        <w:rPr>
          <w:rFonts w:ascii="Times New Roman" w:hAnsi="Times New Roman" w:cs="Times New Roman"/>
        </w:rPr>
      </w:pPr>
    </w:p>
    <w:p w14:paraId="3F04E57E" w14:textId="77777777" w:rsidR="007C587F" w:rsidRPr="00617A78" w:rsidRDefault="007C587F" w:rsidP="004E77D6">
      <w:pPr>
        <w:pStyle w:val="ListParagraph"/>
        <w:widowControl w:val="0"/>
        <w:numPr>
          <w:ilvl w:val="1"/>
          <w:numId w:val="1"/>
        </w:numPr>
        <w:rPr>
          <w:rFonts w:ascii="Times New Roman" w:hAnsi="Times New Roman" w:cs="Times New Roman"/>
          <w:u w:val="single"/>
        </w:rPr>
      </w:pPr>
      <w:r w:rsidRPr="00617A78">
        <w:rPr>
          <w:rFonts w:ascii="Times New Roman" w:hAnsi="Times New Roman" w:cs="Times New Roman"/>
          <w:u w:val="single"/>
        </w:rPr>
        <w:t xml:space="preserve">Statutory: Shorthand / Judicial Gloss </w:t>
      </w:r>
    </w:p>
    <w:p w14:paraId="39E4E5CB" w14:textId="77777777" w:rsidR="007C587F" w:rsidRPr="00617A78" w:rsidRDefault="007C587F" w:rsidP="004E77D6">
      <w:pPr>
        <w:pStyle w:val="ListParagraph"/>
        <w:widowControl w:val="0"/>
        <w:ind w:left="1440"/>
        <w:rPr>
          <w:rFonts w:ascii="Times New Roman" w:hAnsi="Times New Roman" w:cs="Times New Roman"/>
          <w:u w:val="single"/>
        </w:rPr>
      </w:pPr>
    </w:p>
    <w:p w14:paraId="4D863C13" w14:textId="212F2F0B" w:rsidR="004E77D6" w:rsidRDefault="00F53C7A" w:rsidP="00F51D28">
      <w:pPr>
        <w:widowControl w:val="0"/>
        <w:ind w:firstLine="720"/>
        <w:jc w:val="both"/>
        <w:rPr>
          <w:rFonts w:ascii="Times New Roman" w:hAnsi="Times New Roman" w:cs="Times New Roman"/>
        </w:rPr>
      </w:pPr>
      <w:r w:rsidRPr="00617A78">
        <w:rPr>
          <w:rFonts w:ascii="Times New Roman" w:hAnsi="Times New Roman" w:cs="Times New Roman"/>
        </w:rPr>
        <w:t>Though many circuits no longer advocate for the non-statutory, common-law, understanding of manifest disregard, a number</w:t>
      </w:r>
      <w:r w:rsidR="00037491" w:rsidRPr="00617A78">
        <w:rPr>
          <w:rFonts w:ascii="Times New Roman" w:hAnsi="Times New Roman" w:cs="Times New Roman"/>
        </w:rPr>
        <w:t xml:space="preserve"> of Circuit</w:t>
      </w:r>
      <w:r w:rsidR="000D094A" w:rsidRPr="00617A78">
        <w:rPr>
          <w:rFonts w:ascii="Times New Roman" w:hAnsi="Times New Roman" w:cs="Times New Roman"/>
        </w:rPr>
        <w:t xml:space="preserve"> Courts </w:t>
      </w:r>
      <w:r w:rsidRPr="00617A78">
        <w:rPr>
          <w:rFonts w:ascii="Times New Roman" w:hAnsi="Times New Roman" w:cs="Times New Roman"/>
        </w:rPr>
        <w:t xml:space="preserve">still believe the doctrine survived </w:t>
      </w:r>
      <w:r w:rsidRPr="00617A78">
        <w:rPr>
          <w:rFonts w:ascii="Times New Roman" w:hAnsi="Times New Roman" w:cs="Times New Roman"/>
          <w:i/>
        </w:rPr>
        <w:t xml:space="preserve">Hall Street </w:t>
      </w:r>
      <w:r w:rsidRPr="00617A78">
        <w:rPr>
          <w:rFonts w:ascii="Times New Roman" w:hAnsi="Times New Roman" w:cs="Times New Roman"/>
        </w:rPr>
        <w:t>as a shorthand</w:t>
      </w:r>
      <w:r w:rsidR="00266F2D" w:rsidRPr="00617A78">
        <w:rPr>
          <w:rFonts w:ascii="Times New Roman" w:hAnsi="Times New Roman" w:cs="Times New Roman"/>
        </w:rPr>
        <w:t xml:space="preserve"> for, or a </w:t>
      </w:r>
      <w:r w:rsidRPr="00617A78">
        <w:rPr>
          <w:rFonts w:ascii="Times New Roman" w:hAnsi="Times New Roman" w:cs="Times New Roman"/>
        </w:rPr>
        <w:t>judicial gloss</w:t>
      </w:r>
      <w:r w:rsidR="00266F2D" w:rsidRPr="00617A78">
        <w:rPr>
          <w:rFonts w:ascii="Times New Roman" w:hAnsi="Times New Roman" w:cs="Times New Roman"/>
        </w:rPr>
        <w:t xml:space="preserve"> </w:t>
      </w:r>
      <w:r w:rsidR="00156357">
        <w:rPr>
          <w:rFonts w:ascii="Times New Roman" w:hAnsi="Times New Roman" w:cs="Times New Roman"/>
        </w:rPr>
        <w:t>on</w:t>
      </w:r>
      <w:r w:rsidR="00266F2D" w:rsidRPr="00617A78">
        <w:rPr>
          <w:rFonts w:ascii="Times New Roman" w:hAnsi="Times New Roman" w:cs="Times New Roman"/>
        </w:rPr>
        <w:t>,</w:t>
      </w:r>
      <w:r w:rsidRPr="00617A78">
        <w:rPr>
          <w:rFonts w:ascii="Times New Roman" w:hAnsi="Times New Roman" w:cs="Times New Roman"/>
        </w:rPr>
        <w:t xml:space="preserve"> the grounds enumerated in FAA § 10. </w:t>
      </w:r>
      <w:r w:rsidR="00037491" w:rsidRPr="00617A78">
        <w:rPr>
          <w:rFonts w:ascii="Times New Roman" w:hAnsi="Times New Roman" w:cs="Times New Roman"/>
        </w:rPr>
        <w:t xml:space="preserve"> </w:t>
      </w:r>
      <w:r w:rsidRPr="00617A78">
        <w:rPr>
          <w:rFonts w:ascii="Times New Roman" w:hAnsi="Times New Roman" w:cs="Times New Roman"/>
        </w:rPr>
        <w:t xml:space="preserve">As Jack </w:t>
      </w:r>
      <w:proofErr w:type="spellStart"/>
      <w:r w:rsidRPr="00617A78">
        <w:rPr>
          <w:rFonts w:ascii="Times New Roman" w:hAnsi="Times New Roman" w:cs="Times New Roman"/>
        </w:rPr>
        <w:t>Rephan</w:t>
      </w:r>
      <w:proofErr w:type="spellEnd"/>
      <w:r w:rsidRPr="00617A78">
        <w:rPr>
          <w:rFonts w:ascii="Times New Roman" w:hAnsi="Times New Roman" w:cs="Times New Roman"/>
        </w:rPr>
        <w:t xml:space="preserve"> notes,</w:t>
      </w:r>
      <w:r w:rsidR="007C587F" w:rsidRPr="00617A78">
        <w:rPr>
          <w:rFonts w:ascii="Times New Roman" w:hAnsi="Times New Roman" w:cs="Times New Roman"/>
        </w:rPr>
        <w:t xml:space="preserve"> “[a] number o</w:t>
      </w:r>
      <w:r w:rsidRPr="00617A78">
        <w:rPr>
          <w:rFonts w:ascii="Times New Roman" w:hAnsi="Times New Roman" w:cs="Times New Roman"/>
        </w:rPr>
        <w:t>f Federal Circuits</w:t>
      </w:r>
      <w:r w:rsidR="00172851">
        <w:rPr>
          <w:rFonts w:ascii="Times New Roman" w:hAnsi="Times New Roman" w:cs="Times New Roman"/>
        </w:rPr>
        <w:t xml:space="preserve"> </w:t>
      </w:r>
      <w:r w:rsidRPr="00617A78">
        <w:rPr>
          <w:rFonts w:ascii="Times New Roman" w:hAnsi="Times New Roman" w:cs="Times New Roman"/>
        </w:rPr>
        <w:t>…</w:t>
      </w:r>
      <w:r w:rsidR="00172851">
        <w:rPr>
          <w:rFonts w:ascii="Times New Roman" w:hAnsi="Times New Roman" w:cs="Times New Roman"/>
        </w:rPr>
        <w:t xml:space="preserve"> </w:t>
      </w:r>
      <w:r w:rsidR="007C587F" w:rsidRPr="00617A78">
        <w:rPr>
          <w:rFonts w:ascii="Times New Roman" w:hAnsi="Times New Roman" w:cs="Times New Roman"/>
        </w:rPr>
        <w:t>have interpreted [</w:t>
      </w:r>
      <w:r w:rsidR="007C587F" w:rsidRPr="00617A78">
        <w:rPr>
          <w:rFonts w:ascii="Times New Roman" w:hAnsi="Times New Roman" w:cs="Times New Roman"/>
          <w:i/>
        </w:rPr>
        <w:t>Hall Street</w:t>
      </w:r>
      <w:r w:rsidR="007C587F" w:rsidRPr="00617A78">
        <w:rPr>
          <w:rFonts w:ascii="Times New Roman" w:hAnsi="Times New Roman" w:cs="Times New Roman"/>
        </w:rPr>
        <w:t xml:space="preserve">] as not rejecting </w:t>
      </w:r>
      <w:r w:rsidR="007C587F" w:rsidRPr="00617A78">
        <w:rPr>
          <w:rFonts w:ascii="Times New Roman" w:hAnsi="Times New Roman" w:cs="Times New Roman"/>
          <w:i/>
        </w:rPr>
        <w:t xml:space="preserve">in </w:t>
      </w:r>
      <w:proofErr w:type="spellStart"/>
      <w:r w:rsidR="007C587F" w:rsidRPr="00617A78">
        <w:rPr>
          <w:rFonts w:ascii="Times New Roman" w:hAnsi="Times New Roman" w:cs="Times New Roman"/>
          <w:i/>
        </w:rPr>
        <w:t>toto</w:t>
      </w:r>
      <w:proofErr w:type="spellEnd"/>
      <w:r w:rsidR="007C587F" w:rsidRPr="00617A78">
        <w:rPr>
          <w:rFonts w:ascii="Times New Roman" w:hAnsi="Times New Roman" w:cs="Times New Roman"/>
          <w:i/>
        </w:rPr>
        <w:t xml:space="preserve"> </w:t>
      </w:r>
      <w:r w:rsidR="007C587F" w:rsidRPr="00617A78">
        <w:rPr>
          <w:rFonts w:ascii="Times New Roman" w:hAnsi="Times New Roman" w:cs="Times New Roman"/>
        </w:rPr>
        <w:t>manifest disregard as basis for seeking to vacate an</w:t>
      </w:r>
      <w:r w:rsidR="000D094A" w:rsidRPr="00617A78">
        <w:rPr>
          <w:rFonts w:ascii="Times New Roman" w:hAnsi="Times New Roman" w:cs="Times New Roman"/>
        </w:rPr>
        <w:t xml:space="preserve"> award, but that it has survived</w:t>
      </w:r>
      <w:r w:rsidR="007C587F" w:rsidRPr="00617A78">
        <w:rPr>
          <w:rFonts w:ascii="Times New Roman" w:hAnsi="Times New Roman" w:cs="Times New Roman"/>
        </w:rPr>
        <w:t xml:space="preserve"> as being merely shorthand for the statutory grounds under §10(a)(3) and § 10(a)(4), or as a judicial gloss on the statutory ground</w:t>
      </w:r>
      <w:r w:rsidR="00451EE8">
        <w:rPr>
          <w:rFonts w:ascii="Times New Roman" w:hAnsi="Times New Roman" w:cs="Times New Roman"/>
        </w:rPr>
        <w:t>s</w:t>
      </w:r>
      <w:r w:rsidR="007C587F" w:rsidRPr="00617A78">
        <w:rPr>
          <w:rFonts w:ascii="Times New Roman" w:hAnsi="Times New Roman" w:cs="Times New Roman"/>
        </w:rPr>
        <w:t>.”</w:t>
      </w:r>
      <w:r w:rsidR="00451EE8">
        <w:rPr>
          <w:rStyle w:val="FootnoteReference"/>
          <w:rFonts w:ascii="Times New Roman" w:hAnsi="Times New Roman" w:cs="Times New Roman"/>
        </w:rPr>
        <w:footnoteReference w:id="104"/>
      </w:r>
      <w:r w:rsidR="007C587F" w:rsidRPr="00617A78">
        <w:rPr>
          <w:rFonts w:ascii="Times New Roman" w:hAnsi="Times New Roman" w:cs="Times New Roman"/>
        </w:rPr>
        <w:t xml:space="preserve"> The courts that </w:t>
      </w:r>
      <w:r w:rsidR="00266F2D" w:rsidRPr="00617A78">
        <w:rPr>
          <w:rFonts w:ascii="Times New Roman" w:hAnsi="Times New Roman" w:cs="Times New Roman"/>
        </w:rPr>
        <w:t xml:space="preserve">have definitively </w:t>
      </w:r>
      <w:r w:rsidR="007C587F" w:rsidRPr="00617A78">
        <w:rPr>
          <w:rFonts w:ascii="Times New Roman" w:hAnsi="Times New Roman" w:cs="Times New Roman"/>
        </w:rPr>
        <w:t>maintain</w:t>
      </w:r>
      <w:r w:rsidR="00266F2D" w:rsidRPr="00617A78">
        <w:rPr>
          <w:rFonts w:ascii="Times New Roman" w:hAnsi="Times New Roman" w:cs="Times New Roman"/>
        </w:rPr>
        <w:t>ed</w:t>
      </w:r>
      <w:r w:rsidR="007C587F" w:rsidRPr="00617A78">
        <w:rPr>
          <w:rFonts w:ascii="Times New Roman" w:hAnsi="Times New Roman" w:cs="Times New Roman"/>
        </w:rPr>
        <w:t xml:space="preserve"> this position </w:t>
      </w:r>
      <w:r w:rsidR="00266F2D" w:rsidRPr="00617A78">
        <w:rPr>
          <w:rFonts w:ascii="Times New Roman" w:hAnsi="Times New Roman" w:cs="Times New Roman"/>
        </w:rPr>
        <w:t xml:space="preserve">following </w:t>
      </w:r>
      <w:r w:rsidR="00266F2D" w:rsidRPr="00617A78">
        <w:rPr>
          <w:rFonts w:ascii="Times New Roman" w:hAnsi="Times New Roman" w:cs="Times New Roman"/>
          <w:i/>
        </w:rPr>
        <w:t xml:space="preserve">Hall Street </w:t>
      </w:r>
      <w:r w:rsidR="00266F2D" w:rsidRPr="00617A78">
        <w:rPr>
          <w:rFonts w:ascii="Times New Roman" w:hAnsi="Times New Roman" w:cs="Times New Roman"/>
        </w:rPr>
        <w:t>include the Second Circuit and the Ninth Circuit.</w:t>
      </w:r>
      <w:r w:rsidR="000D094A" w:rsidRPr="00617A78">
        <w:rPr>
          <w:rStyle w:val="FootnoteReference"/>
          <w:rFonts w:ascii="Times New Roman" w:hAnsi="Times New Roman" w:cs="Times New Roman"/>
        </w:rPr>
        <w:footnoteReference w:id="105"/>
      </w:r>
      <w:r w:rsidR="00266F2D" w:rsidRPr="00617A78">
        <w:rPr>
          <w:rFonts w:ascii="Times New Roman" w:hAnsi="Times New Roman" w:cs="Times New Roman"/>
        </w:rPr>
        <w:t xml:space="preserve"> </w:t>
      </w:r>
    </w:p>
    <w:p w14:paraId="1D50807A" w14:textId="31BB7680" w:rsidR="007C587F" w:rsidRPr="00617A78" w:rsidRDefault="007C587F" w:rsidP="004E77D6">
      <w:pPr>
        <w:widowControl w:val="0"/>
        <w:ind w:firstLine="720"/>
        <w:jc w:val="both"/>
        <w:rPr>
          <w:rFonts w:ascii="Times New Roman" w:hAnsi="Times New Roman" w:cs="Times New Roman"/>
        </w:rPr>
      </w:pPr>
      <w:r w:rsidRPr="00617A78">
        <w:rPr>
          <w:rFonts w:ascii="Times New Roman" w:hAnsi="Times New Roman" w:cs="Times New Roman"/>
        </w:rPr>
        <w:t xml:space="preserve"> </w:t>
      </w:r>
    </w:p>
    <w:p w14:paraId="345D9918" w14:textId="77777777" w:rsidR="007C587F" w:rsidRPr="00617A78" w:rsidRDefault="007C587F" w:rsidP="004E77D6">
      <w:pPr>
        <w:pStyle w:val="ListParagraph"/>
        <w:widowControl w:val="0"/>
        <w:numPr>
          <w:ilvl w:val="2"/>
          <w:numId w:val="1"/>
        </w:numPr>
        <w:rPr>
          <w:rFonts w:ascii="Times New Roman" w:hAnsi="Times New Roman" w:cs="Times New Roman"/>
          <w:u w:val="single"/>
        </w:rPr>
      </w:pPr>
      <w:r w:rsidRPr="00617A78">
        <w:rPr>
          <w:rFonts w:ascii="Times New Roman" w:hAnsi="Times New Roman" w:cs="Times New Roman"/>
          <w:u w:val="single"/>
        </w:rPr>
        <w:lastRenderedPageBreak/>
        <w:t>Second Circuit</w:t>
      </w:r>
    </w:p>
    <w:p w14:paraId="05C70038" w14:textId="77777777" w:rsidR="007C587F" w:rsidRPr="00617A78" w:rsidRDefault="007C587F" w:rsidP="004E77D6">
      <w:pPr>
        <w:widowControl w:val="0"/>
        <w:rPr>
          <w:rFonts w:ascii="Times New Roman" w:hAnsi="Times New Roman" w:cs="Times New Roman"/>
          <w:u w:val="single"/>
        </w:rPr>
      </w:pPr>
    </w:p>
    <w:p w14:paraId="076A85DF" w14:textId="7A42AE26" w:rsidR="007C587F" w:rsidRDefault="009B2DFF" w:rsidP="00F51D28">
      <w:pPr>
        <w:widowControl w:val="0"/>
        <w:ind w:firstLine="720"/>
        <w:jc w:val="both"/>
        <w:rPr>
          <w:rFonts w:ascii="Times New Roman" w:hAnsi="Times New Roman" w:cs="Times New Roman"/>
        </w:rPr>
      </w:pPr>
      <w:r w:rsidRPr="00617A78">
        <w:rPr>
          <w:rFonts w:ascii="Times New Roman" w:hAnsi="Times New Roman" w:cs="Times New Roman"/>
        </w:rPr>
        <w:t xml:space="preserve">In </w:t>
      </w:r>
      <w:r w:rsidRPr="00617A78">
        <w:rPr>
          <w:rFonts w:ascii="Times New Roman" w:hAnsi="Times New Roman" w:cs="Times New Roman"/>
          <w:i/>
        </w:rPr>
        <w:t xml:space="preserve">Stolt-Nielsen SA v. </w:t>
      </w:r>
      <w:proofErr w:type="spellStart"/>
      <w:r w:rsidRPr="00617A78">
        <w:rPr>
          <w:rFonts w:ascii="Times New Roman" w:hAnsi="Times New Roman" w:cs="Times New Roman"/>
          <w:i/>
        </w:rPr>
        <w:t>AnimalFeeds</w:t>
      </w:r>
      <w:proofErr w:type="spellEnd"/>
      <w:r w:rsidRPr="00617A78">
        <w:rPr>
          <w:rFonts w:ascii="Times New Roman" w:hAnsi="Times New Roman" w:cs="Times New Roman"/>
          <w:i/>
        </w:rPr>
        <w:t xml:space="preserve"> International Corp. </w:t>
      </w:r>
      <w:r w:rsidRPr="00617A78">
        <w:rPr>
          <w:rFonts w:ascii="Times New Roman" w:hAnsi="Times New Roman" w:cs="Times New Roman"/>
        </w:rPr>
        <w:t>(overruled on other grounds), the Second Circuit</w:t>
      </w:r>
      <w:r w:rsidR="00E31A99" w:rsidRPr="00617A78">
        <w:rPr>
          <w:rFonts w:ascii="Times New Roman" w:hAnsi="Times New Roman" w:cs="Times New Roman"/>
        </w:rPr>
        <w:t xml:space="preserve"> </w:t>
      </w:r>
      <w:r w:rsidR="00DC6AD9" w:rsidRPr="00617A78">
        <w:rPr>
          <w:rFonts w:ascii="Times New Roman" w:hAnsi="Times New Roman" w:cs="Times New Roman"/>
        </w:rPr>
        <w:t xml:space="preserve">confirmed its view that </w:t>
      </w:r>
      <w:r w:rsidR="00DC6AD9" w:rsidRPr="00617A78">
        <w:rPr>
          <w:rFonts w:ascii="Times New Roman" w:hAnsi="Times New Roman" w:cs="Times New Roman"/>
          <w:i/>
        </w:rPr>
        <w:t xml:space="preserve">Hall Street </w:t>
      </w:r>
      <w:r w:rsidR="00DC6AD9" w:rsidRPr="00617A78">
        <w:rPr>
          <w:rFonts w:ascii="Times New Roman" w:hAnsi="Times New Roman" w:cs="Times New Roman"/>
        </w:rPr>
        <w:t>did not “abrogate the ‘manifest disregard’ doctrine.”</w:t>
      </w:r>
      <w:r w:rsidR="00DC6AD9" w:rsidRPr="00617A78">
        <w:rPr>
          <w:rStyle w:val="FootnoteReference"/>
          <w:rFonts w:ascii="Times New Roman" w:hAnsi="Times New Roman" w:cs="Times New Roman"/>
        </w:rPr>
        <w:footnoteReference w:id="106"/>
      </w:r>
      <w:r w:rsidR="00DC6AD9" w:rsidRPr="00617A78">
        <w:rPr>
          <w:rFonts w:ascii="Times New Roman" w:hAnsi="Times New Roman" w:cs="Times New Roman"/>
        </w:rPr>
        <w:t xml:space="preserve"> The court conceded, </w:t>
      </w:r>
      <w:r w:rsidR="00595F3D" w:rsidRPr="00617A78">
        <w:rPr>
          <w:rFonts w:ascii="Times New Roman" w:hAnsi="Times New Roman" w:cs="Times New Roman"/>
        </w:rPr>
        <w:t xml:space="preserve">Jack </w:t>
      </w:r>
      <w:proofErr w:type="spellStart"/>
      <w:r w:rsidR="00DC6AD9" w:rsidRPr="00617A78">
        <w:rPr>
          <w:rFonts w:ascii="Times New Roman" w:hAnsi="Times New Roman" w:cs="Times New Roman"/>
        </w:rPr>
        <w:t>Jarrret</w:t>
      </w:r>
      <w:proofErr w:type="spellEnd"/>
      <w:r w:rsidR="00DC6AD9" w:rsidRPr="00617A78">
        <w:rPr>
          <w:rFonts w:ascii="Times New Roman" w:hAnsi="Times New Roman" w:cs="Times New Roman"/>
        </w:rPr>
        <w:t xml:space="preserve"> notes, that the Second Circuit “had previously indicated that the judicially named grounds were </w:t>
      </w:r>
      <w:r w:rsidR="009C1F79" w:rsidRPr="00617A78">
        <w:rPr>
          <w:rFonts w:ascii="Times New Roman" w:hAnsi="Times New Roman" w:cs="Times New Roman"/>
        </w:rPr>
        <w:t>separate</w:t>
      </w:r>
      <w:r w:rsidR="00DC6AD9" w:rsidRPr="00617A78">
        <w:rPr>
          <w:rFonts w:ascii="Times New Roman" w:hAnsi="Times New Roman" w:cs="Times New Roman"/>
        </w:rPr>
        <w:t xml:space="preserve"> from the </w:t>
      </w:r>
      <w:r w:rsidR="009C1F79" w:rsidRPr="00617A78">
        <w:rPr>
          <w:rFonts w:ascii="Times New Roman" w:hAnsi="Times New Roman" w:cs="Times New Roman"/>
        </w:rPr>
        <w:t>ground</w:t>
      </w:r>
      <w:r w:rsidR="00172851">
        <w:rPr>
          <w:rFonts w:ascii="Times New Roman" w:hAnsi="Times New Roman" w:cs="Times New Roman"/>
        </w:rPr>
        <w:t>s</w:t>
      </w:r>
      <w:r w:rsidR="00DC6AD9" w:rsidRPr="00617A78">
        <w:rPr>
          <w:rFonts w:ascii="Times New Roman" w:hAnsi="Times New Roman" w:cs="Times New Roman"/>
        </w:rPr>
        <w:t xml:space="preserve"> </w:t>
      </w:r>
      <w:r w:rsidR="009C1F79" w:rsidRPr="00617A78">
        <w:rPr>
          <w:rFonts w:ascii="Times New Roman" w:hAnsi="Times New Roman" w:cs="Times New Roman"/>
        </w:rPr>
        <w:t>specified</w:t>
      </w:r>
      <w:r w:rsidR="00DC6AD9" w:rsidRPr="00617A78">
        <w:rPr>
          <w:rFonts w:ascii="Times New Roman" w:hAnsi="Times New Roman" w:cs="Times New Roman"/>
        </w:rPr>
        <w:t xml:space="preserve"> in the FAA.”</w:t>
      </w:r>
      <w:r w:rsidR="00DC6AD9" w:rsidRPr="00617A78">
        <w:rPr>
          <w:rStyle w:val="FootnoteReference"/>
          <w:rFonts w:ascii="Times New Roman" w:hAnsi="Times New Roman" w:cs="Times New Roman"/>
        </w:rPr>
        <w:footnoteReference w:id="107"/>
      </w:r>
      <w:r w:rsidR="009C1F79" w:rsidRPr="00617A78">
        <w:rPr>
          <w:rFonts w:ascii="Times New Roman" w:hAnsi="Times New Roman" w:cs="Times New Roman"/>
        </w:rPr>
        <w:t xml:space="preserve"> However, in </w:t>
      </w:r>
      <w:r w:rsidR="009C1F79" w:rsidRPr="00617A78">
        <w:rPr>
          <w:rFonts w:ascii="Times New Roman" w:hAnsi="Times New Roman" w:cs="Times New Roman"/>
          <w:i/>
        </w:rPr>
        <w:t xml:space="preserve">Stolt-Nielsen </w:t>
      </w:r>
      <w:r w:rsidR="009C1F79" w:rsidRPr="00617A78">
        <w:rPr>
          <w:rFonts w:ascii="Times New Roman" w:hAnsi="Times New Roman" w:cs="Times New Roman"/>
        </w:rPr>
        <w:t>the court stated that it “</w:t>
      </w:r>
      <w:proofErr w:type="spellStart"/>
      <w:r w:rsidR="009C1F79" w:rsidRPr="00617A78">
        <w:rPr>
          <w:rFonts w:ascii="Times New Roman" w:hAnsi="Times New Roman" w:cs="Times New Roman"/>
        </w:rPr>
        <w:t>reconceptualized</w:t>
      </w:r>
      <w:proofErr w:type="spellEnd"/>
      <w:r w:rsidR="009C1F79" w:rsidRPr="00617A78">
        <w:rPr>
          <w:rFonts w:ascii="Times New Roman" w:hAnsi="Times New Roman" w:cs="Times New Roman"/>
        </w:rPr>
        <w:t xml:space="preserve">” their understanding of the doctrine of manifest disregard “as a judicial gloss on the specific grounds for </w:t>
      </w:r>
      <w:proofErr w:type="spellStart"/>
      <w:r w:rsidR="009C1F79" w:rsidRPr="00617A78">
        <w:rPr>
          <w:rFonts w:ascii="Times New Roman" w:hAnsi="Times New Roman" w:cs="Times New Roman"/>
        </w:rPr>
        <w:t>vacatur</w:t>
      </w:r>
      <w:proofErr w:type="spellEnd"/>
      <w:r w:rsidR="009C1F79" w:rsidRPr="00617A78">
        <w:rPr>
          <w:rFonts w:ascii="Times New Roman" w:hAnsi="Times New Roman" w:cs="Times New Roman"/>
        </w:rPr>
        <w:t xml:space="preserve"> enumerated in section 10 of the FAA….”</w:t>
      </w:r>
      <w:r w:rsidR="009C1F79" w:rsidRPr="00617A78">
        <w:rPr>
          <w:rStyle w:val="FootnoteReference"/>
          <w:rFonts w:ascii="Times New Roman" w:hAnsi="Times New Roman" w:cs="Times New Roman"/>
        </w:rPr>
        <w:footnoteReference w:id="108"/>
      </w:r>
      <w:r w:rsidR="009C1F79" w:rsidRPr="00617A78">
        <w:rPr>
          <w:rFonts w:ascii="Times New Roman" w:hAnsi="Times New Roman" w:cs="Times New Roman"/>
        </w:rPr>
        <w:t xml:space="preserve"> The Second </w:t>
      </w:r>
      <w:r w:rsidR="00764671" w:rsidRPr="00617A78">
        <w:rPr>
          <w:rFonts w:ascii="Times New Roman" w:hAnsi="Times New Roman" w:cs="Times New Roman"/>
        </w:rPr>
        <w:t>Circuit</w:t>
      </w:r>
      <w:r w:rsidR="009C1F79" w:rsidRPr="00617A78">
        <w:rPr>
          <w:rFonts w:ascii="Times New Roman" w:hAnsi="Times New Roman" w:cs="Times New Roman"/>
        </w:rPr>
        <w:t xml:space="preserve"> </w:t>
      </w:r>
      <w:r w:rsidR="00764671" w:rsidRPr="00617A78">
        <w:rPr>
          <w:rFonts w:ascii="Times New Roman" w:hAnsi="Times New Roman" w:cs="Times New Roman"/>
        </w:rPr>
        <w:t xml:space="preserve">recently </w:t>
      </w:r>
      <w:r w:rsidR="009C1F79" w:rsidRPr="00617A78">
        <w:rPr>
          <w:rFonts w:ascii="Times New Roman" w:hAnsi="Times New Roman" w:cs="Times New Roman"/>
        </w:rPr>
        <w:t>reconfirmed this position</w:t>
      </w:r>
      <w:r w:rsidRPr="00617A78">
        <w:rPr>
          <w:rFonts w:ascii="Times New Roman" w:hAnsi="Times New Roman" w:cs="Times New Roman"/>
          <w:i/>
        </w:rPr>
        <w:t xml:space="preserve"> </w:t>
      </w:r>
      <w:r w:rsidR="009C1F79" w:rsidRPr="00617A78">
        <w:rPr>
          <w:rFonts w:ascii="Times New Roman" w:hAnsi="Times New Roman" w:cs="Times New Roman"/>
        </w:rPr>
        <w:t>i</w:t>
      </w:r>
      <w:r w:rsidR="00CD2BE5" w:rsidRPr="00617A78">
        <w:rPr>
          <w:rFonts w:ascii="Times New Roman" w:hAnsi="Times New Roman" w:cs="Times New Roman"/>
        </w:rPr>
        <w:t xml:space="preserve">n </w:t>
      </w:r>
      <w:r w:rsidR="00CD2BE5" w:rsidRPr="00617A78">
        <w:rPr>
          <w:rFonts w:ascii="Times New Roman" w:hAnsi="Times New Roman" w:cs="Times New Roman"/>
          <w:i/>
        </w:rPr>
        <w:t xml:space="preserve">Sutherland Global Services v. Adam </w:t>
      </w:r>
      <w:r w:rsidR="00695A86" w:rsidRPr="00617A78">
        <w:rPr>
          <w:rFonts w:ascii="Times New Roman" w:hAnsi="Times New Roman" w:cs="Times New Roman"/>
          <w:i/>
        </w:rPr>
        <w:t>Technologies</w:t>
      </w:r>
      <w:r w:rsidR="00CD2BE5" w:rsidRPr="00617A78">
        <w:rPr>
          <w:rFonts w:ascii="Times New Roman" w:hAnsi="Times New Roman" w:cs="Times New Roman"/>
        </w:rPr>
        <w:t xml:space="preserve">. </w:t>
      </w:r>
      <w:r w:rsidR="00695A86" w:rsidRPr="00617A78">
        <w:rPr>
          <w:rFonts w:ascii="Times New Roman" w:hAnsi="Times New Roman" w:cs="Times New Roman"/>
        </w:rPr>
        <w:t>There, the court</w:t>
      </w:r>
      <w:r w:rsidR="00E22FCC" w:rsidRPr="00617A78">
        <w:rPr>
          <w:rFonts w:ascii="Times New Roman" w:hAnsi="Times New Roman" w:cs="Times New Roman"/>
        </w:rPr>
        <w:t xml:space="preserve"> first noted</w:t>
      </w:r>
      <w:r w:rsidR="00695A86" w:rsidRPr="00617A78">
        <w:rPr>
          <w:rFonts w:ascii="Times New Roman" w:hAnsi="Times New Roman" w:cs="Times New Roman"/>
        </w:rPr>
        <w:t xml:space="preserve"> that “the specific grounds for </w:t>
      </w:r>
      <w:proofErr w:type="spellStart"/>
      <w:r w:rsidR="00695A86" w:rsidRPr="00617A78">
        <w:rPr>
          <w:rFonts w:ascii="Times New Roman" w:hAnsi="Times New Roman" w:cs="Times New Roman"/>
        </w:rPr>
        <w:t>vacatur</w:t>
      </w:r>
      <w:proofErr w:type="spellEnd"/>
      <w:r w:rsidR="00695A86" w:rsidRPr="00617A78">
        <w:rPr>
          <w:rFonts w:ascii="Times New Roman" w:hAnsi="Times New Roman" w:cs="Times New Roman"/>
        </w:rPr>
        <w:t xml:space="preserve"> provided in the FAA are generally exclusive,”</w:t>
      </w:r>
      <w:r w:rsidR="00695A86" w:rsidRPr="00617A78">
        <w:rPr>
          <w:rStyle w:val="FootnoteReference"/>
          <w:rFonts w:ascii="Times New Roman" w:hAnsi="Times New Roman" w:cs="Times New Roman"/>
        </w:rPr>
        <w:footnoteReference w:id="109"/>
      </w:r>
      <w:r w:rsidR="00695A86" w:rsidRPr="00617A78">
        <w:rPr>
          <w:rFonts w:ascii="Times New Roman" w:hAnsi="Times New Roman" w:cs="Times New Roman"/>
        </w:rPr>
        <w:t xml:space="preserve"> but </w:t>
      </w:r>
      <w:r w:rsidRPr="00617A78">
        <w:rPr>
          <w:rFonts w:ascii="Times New Roman" w:hAnsi="Times New Roman" w:cs="Times New Roman"/>
        </w:rPr>
        <w:t>then</w:t>
      </w:r>
      <w:r w:rsidR="00E22FCC" w:rsidRPr="00617A78">
        <w:rPr>
          <w:rFonts w:ascii="Times New Roman" w:hAnsi="Times New Roman" w:cs="Times New Roman"/>
        </w:rPr>
        <w:t xml:space="preserve"> stated that manifest disregard “‘remains a valid ground for vacating arbitration awards’” as “‘judicial gloss on the specific grounds for </w:t>
      </w:r>
      <w:proofErr w:type="spellStart"/>
      <w:r w:rsidR="00E22FCC" w:rsidRPr="00617A78">
        <w:rPr>
          <w:rFonts w:ascii="Times New Roman" w:hAnsi="Times New Roman" w:cs="Times New Roman"/>
        </w:rPr>
        <w:t>vacatur</w:t>
      </w:r>
      <w:proofErr w:type="spellEnd"/>
      <w:r w:rsidR="00E22FCC" w:rsidRPr="00617A78">
        <w:rPr>
          <w:rFonts w:ascii="Times New Roman" w:hAnsi="Times New Roman" w:cs="Times New Roman"/>
        </w:rPr>
        <w:t>…’” set forth in FAA § 10.</w:t>
      </w:r>
      <w:r w:rsidR="00E22FCC" w:rsidRPr="00617A78">
        <w:rPr>
          <w:rStyle w:val="FootnoteReference"/>
          <w:rFonts w:ascii="Times New Roman" w:hAnsi="Times New Roman" w:cs="Times New Roman"/>
        </w:rPr>
        <w:t xml:space="preserve"> </w:t>
      </w:r>
      <w:r w:rsidR="00E22FCC" w:rsidRPr="00617A78">
        <w:rPr>
          <w:rStyle w:val="FootnoteReference"/>
          <w:rFonts w:ascii="Times New Roman" w:hAnsi="Times New Roman" w:cs="Times New Roman"/>
        </w:rPr>
        <w:footnoteReference w:id="110"/>
      </w:r>
      <w:r w:rsidR="00E22FCC" w:rsidRPr="00617A78">
        <w:rPr>
          <w:rFonts w:ascii="Times New Roman" w:hAnsi="Times New Roman" w:cs="Times New Roman"/>
        </w:rPr>
        <w:t xml:space="preserve">  </w:t>
      </w:r>
      <w:r w:rsidR="009C1F79" w:rsidRPr="00617A78">
        <w:rPr>
          <w:rFonts w:ascii="Times New Roman" w:hAnsi="Times New Roman" w:cs="Times New Roman"/>
        </w:rPr>
        <w:t xml:space="preserve">Thus, it appears that the Second Circuit has adopted the </w:t>
      </w:r>
      <w:proofErr w:type="gramStart"/>
      <w:r w:rsidR="009C1F79" w:rsidRPr="00617A78">
        <w:rPr>
          <w:rFonts w:ascii="Times New Roman" w:hAnsi="Times New Roman" w:cs="Times New Roman"/>
        </w:rPr>
        <w:t>view that manifest</w:t>
      </w:r>
      <w:proofErr w:type="gramEnd"/>
      <w:r w:rsidR="009C1F79" w:rsidRPr="00617A78">
        <w:rPr>
          <w:rFonts w:ascii="Times New Roman" w:hAnsi="Times New Roman" w:cs="Times New Roman"/>
        </w:rPr>
        <w:t xml:space="preserve"> disregard remains viable as </w:t>
      </w:r>
      <w:r w:rsidR="00595F3D" w:rsidRPr="00617A78">
        <w:rPr>
          <w:rFonts w:ascii="Times New Roman" w:hAnsi="Times New Roman" w:cs="Times New Roman"/>
        </w:rPr>
        <w:t xml:space="preserve">a </w:t>
      </w:r>
      <w:r w:rsidR="009C1F79" w:rsidRPr="00617A78">
        <w:rPr>
          <w:rFonts w:ascii="Times New Roman" w:hAnsi="Times New Roman" w:cs="Times New Roman"/>
        </w:rPr>
        <w:t>judicial gloss</w:t>
      </w:r>
      <w:r w:rsidR="00A721B4" w:rsidRPr="00617A78">
        <w:rPr>
          <w:rFonts w:ascii="Times New Roman" w:hAnsi="Times New Roman" w:cs="Times New Roman"/>
        </w:rPr>
        <w:t>.</w:t>
      </w:r>
      <w:r w:rsidR="009C1F79" w:rsidRPr="00617A78">
        <w:rPr>
          <w:rFonts w:ascii="Times New Roman" w:hAnsi="Times New Roman" w:cs="Times New Roman"/>
        </w:rPr>
        <w:t xml:space="preserve"> </w:t>
      </w:r>
    </w:p>
    <w:p w14:paraId="7FBDDEEB" w14:textId="77777777" w:rsidR="004E77D6" w:rsidRPr="00617A78" w:rsidRDefault="004E77D6" w:rsidP="004E77D6">
      <w:pPr>
        <w:widowControl w:val="0"/>
        <w:ind w:firstLine="720"/>
        <w:jc w:val="both"/>
        <w:rPr>
          <w:rFonts w:ascii="Times New Roman" w:hAnsi="Times New Roman" w:cs="Times New Roman"/>
        </w:rPr>
      </w:pPr>
    </w:p>
    <w:p w14:paraId="1C9E6586" w14:textId="77777777" w:rsidR="007C587F" w:rsidRPr="00617A78" w:rsidRDefault="007C587F" w:rsidP="004E77D6">
      <w:pPr>
        <w:pStyle w:val="ListParagraph"/>
        <w:widowControl w:val="0"/>
        <w:numPr>
          <w:ilvl w:val="2"/>
          <w:numId w:val="1"/>
        </w:numPr>
        <w:rPr>
          <w:rFonts w:ascii="Times New Roman" w:hAnsi="Times New Roman" w:cs="Times New Roman"/>
          <w:u w:val="single"/>
        </w:rPr>
      </w:pPr>
      <w:r w:rsidRPr="00617A78">
        <w:rPr>
          <w:rFonts w:ascii="Times New Roman" w:hAnsi="Times New Roman" w:cs="Times New Roman"/>
          <w:u w:val="single"/>
        </w:rPr>
        <w:t xml:space="preserve">Ninth Circuit </w:t>
      </w:r>
    </w:p>
    <w:p w14:paraId="03A99149" w14:textId="77777777" w:rsidR="007C587F" w:rsidRPr="00617A78" w:rsidRDefault="007C587F" w:rsidP="004E77D6">
      <w:pPr>
        <w:pStyle w:val="ListParagraph"/>
        <w:widowControl w:val="0"/>
        <w:ind w:left="1530"/>
        <w:rPr>
          <w:rFonts w:ascii="Times New Roman" w:hAnsi="Times New Roman" w:cs="Times New Roman"/>
          <w:u w:val="single"/>
        </w:rPr>
      </w:pPr>
    </w:p>
    <w:p w14:paraId="1B375B90" w14:textId="1718AC7A" w:rsidR="007C587F" w:rsidRDefault="007C587F" w:rsidP="00F51D28">
      <w:pPr>
        <w:widowControl w:val="0"/>
        <w:ind w:firstLine="720"/>
        <w:jc w:val="both"/>
        <w:rPr>
          <w:rFonts w:ascii="Times New Roman" w:hAnsi="Times New Roman" w:cs="Times New Roman"/>
        </w:rPr>
      </w:pPr>
      <w:r w:rsidRPr="00617A78">
        <w:rPr>
          <w:rFonts w:ascii="Times New Roman" w:hAnsi="Times New Roman" w:cs="Times New Roman"/>
        </w:rPr>
        <w:t xml:space="preserve">In </w:t>
      </w:r>
      <w:r w:rsidRPr="00617A78">
        <w:rPr>
          <w:rFonts w:ascii="Times New Roman" w:hAnsi="Times New Roman" w:cs="Times New Roman"/>
          <w:i/>
          <w:iCs/>
        </w:rPr>
        <w:t>Comedy Club, Inc. v</w:t>
      </w:r>
      <w:r w:rsidR="00B72A31">
        <w:rPr>
          <w:rFonts w:ascii="Times New Roman" w:hAnsi="Times New Roman" w:cs="Times New Roman"/>
          <w:i/>
          <w:iCs/>
        </w:rPr>
        <w:t>.</w:t>
      </w:r>
      <w:r w:rsidRPr="00617A78">
        <w:rPr>
          <w:rFonts w:ascii="Times New Roman" w:hAnsi="Times New Roman" w:cs="Times New Roman"/>
          <w:i/>
          <w:iCs/>
        </w:rPr>
        <w:t xml:space="preserve"> </w:t>
      </w:r>
      <w:proofErr w:type="spellStart"/>
      <w:r w:rsidRPr="00617A78">
        <w:rPr>
          <w:rFonts w:ascii="Times New Roman" w:hAnsi="Times New Roman" w:cs="Times New Roman"/>
          <w:i/>
          <w:iCs/>
        </w:rPr>
        <w:t>Improv</w:t>
      </w:r>
      <w:proofErr w:type="spellEnd"/>
      <w:r w:rsidRPr="00617A78">
        <w:rPr>
          <w:rFonts w:ascii="Times New Roman" w:hAnsi="Times New Roman" w:cs="Times New Roman"/>
          <w:i/>
          <w:iCs/>
        </w:rPr>
        <w:t xml:space="preserve"> W. Assocs.</w:t>
      </w:r>
      <w:r w:rsidRPr="00617A78">
        <w:rPr>
          <w:rFonts w:ascii="Times New Roman" w:hAnsi="Times New Roman" w:cs="Times New Roman"/>
          <w:iCs/>
        </w:rPr>
        <w:t xml:space="preserve">, the Ninth Circuit read the Supreme Court’s decision in </w:t>
      </w:r>
      <w:r w:rsidRPr="00617A78">
        <w:rPr>
          <w:rFonts w:ascii="Times New Roman" w:hAnsi="Times New Roman" w:cs="Times New Roman"/>
          <w:i/>
          <w:iCs/>
        </w:rPr>
        <w:t xml:space="preserve">Hall Street </w:t>
      </w:r>
      <w:r w:rsidR="00D21602" w:rsidRPr="00617A78">
        <w:rPr>
          <w:rFonts w:ascii="Times New Roman" w:hAnsi="Times New Roman" w:cs="Times New Roman"/>
          <w:iCs/>
        </w:rPr>
        <w:t>as merely identifying</w:t>
      </w:r>
      <w:r w:rsidRPr="00617A78">
        <w:rPr>
          <w:rFonts w:ascii="Times New Roman" w:hAnsi="Times New Roman" w:cs="Times New Roman"/>
          <w:iCs/>
        </w:rPr>
        <w:t xml:space="preserve"> several possible interpretations of the doctrine of manifest disregard.</w:t>
      </w:r>
      <w:r w:rsidRPr="00617A78">
        <w:rPr>
          <w:rStyle w:val="FootnoteReference"/>
          <w:rFonts w:ascii="Times New Roman" w:hAnsi="Times New Roman" w:cs="Times New Roman"/>
          <w:iCs/>
        </w:rPr>
        <w:footnoteReference w:id="111"/>
      </w:r>
      <w:r w:rsidRPr="00617A78">
        <w:rPr>
          <w:rFonts w:ascii="Times New Roman" w:hAnsi="Times New Roman" w:cs="Times New Roman"/>
          <w:iCs/>
        </w:rPr>
        <w:t xml:space="preserve"> These “possible readings of the doctrine”</w:t>
      </w:r>
      <w:r w:rsidRPr="00617A78">
        <w:rPr>
          <w:rStyle w:val="FootnoteReference"/>
          <w:rFonts w:ascii="Times New Roman" w:hAnsi="Times New Roman" w:cs="Times New Roman"/>
          <w:iCs/>
        </w:rPr>
        <w:footnoteReference w:id="112"/>
      </w:r>
      <w:r w:rsidRPr="00617A78">
        <w:rPr>
          <w:rFonts w:ascii="Times New Roman" w:hAnsi="Times New Roman" w:cs="Times New Roman"/>
          <w:iCs/>
        </w:rPr>
        <w:t xml:space="preserve"> included the understanding that manifes</w:t>
      </w:r>
      <w:r w:rsidR="00D21602" w:rsidRPr="00617A78">
        <w:rPr>
          <w:rFonts w:ascii="Times New Roman" w:hAnsi="Times New Roman" w:cs="Times New Roman"/>
          <w:iCs/>
        </w:rPr>
        <w:t>t disregard was a short</w:t>
      </w:r>
      <w:r w:rsidRPr="00617A78">
        <w:rPr>
          <w:rFonts w:ascii="Times New Roman" w:hAnsi="Times New Roman" w:cs="Times New Roman"/>
          <w:iCs/>
        </w:rPr>
        <w:t>hand for the statuary ground</w:t>
      </w:r>
      <w:r w:rsidR="003A1E58" w:rsidRPr="00617A78">
        <w:rPr>
          <w:rFonts w:ascii="Times New Roman" w:hAnsi="Times New Roman" w:cs="Times New Roman"/>
          <w:iCs/>
        </w:rPr>
        <w:t>s</w:t>
      </w:r>
      <w:r w:rsidRPr="00617A78">
        <w:rPr>
          <w:rFonts w:ascii="Times New Roman" w:hAnsi="Times New Roman" w:cs="Times New Roman"/>
          <w:iCs/>
        </w:rPr>
        <w:t xml:space="preserve"> enumerated under Section 10 of the FAA,</w:t>
      </w:r>
      <w:r w:rsidRPr="00617A78">
        <w:rPr>
          <w:rStyle w:val="FootnoteReference"/>
          <w:rFonts w:ascii="Times New Roman" w:hAnsi="Times New Roman" w:cs="Times New Roman"/>
          <w:iCs/>
        </w:rPr>
        <w:footnoteReference w:id="113"/>
      </w:r>
      <w:r w:rsidRPr="00617A78">
        <w:rPr>
          <w:rFonts w:ascii="Times New Roman" w:hAnsi="Times New Roman" w:cs="Times New Roman"/>
          <w:iCs/>
        </w:rPr>
        <w:t xml:space="preserve"> which the court acknowledged was the </w:t>
      </w:r>
      <w:r w:rsidRPr="00617A78">
        <w:rPr>
          <w:rFonts w:ascii="Times New Roman" w:hAnsi="Times New Roman" w:cs="Times New Roman"/>
          <w:iCs/>
        </w:rPr>
        <w:lastRenderedPageBreak/>
        <w:t>accepted view in the Ninth Circuit.</w:t>
      </w:r>
      <w:r w:rsidRPr="00617A78">
        <w:rPr>
          <w:rStyle w:val="FootnoteReference"/>
          <w:rFonts w:ascii="Times New Roman" w:hAnsi="Times New Roman" w:cs="Times New Roman"/>
          <w:iCs/>
        </w:rPr>
        <w:footnoteReference w:id="114"/>
      </w:r>
      <w:r w:rsidRPr="00617A78">
        <w:rPr>
          <w:rFonts w:ascii="Times New Roman" w:hAnsi="Times New Roman" w:cs="Times New Roman"/>
          <w:iCs/>
        </w:rPr>
        <w:t xml:space="preserve"> Thus, the court concluded “</w:t>
      </w:r>
      <w:r w:rsidRPr="00617A78">
        <w:rPr>
          <w:rFonts w:ascii="Times New Roman" w:hAnsi="Times New Roman" w:cs="Times New Roman"/>
          <w:i/>
          <w:iCs/>
        </w:rPr>
        <w:t>Hall Street Associates</w:t>
      </w:r>
      <w:r w:rsidRPr="00617A78">
        <w:rPr>
          <w:rFonts w:ascii="Times New Roman" w:hAnsi="Times New Roman" w:cs="Times New Roman"/>
        </w:rPr>
        <w:t xml:space="preserve"> did not undermine the manifest disregard of law ground for </w:t>
      </w:r>
      <w:proofErr w:type="spellStart"/>
      <w:r w:rsidRPr="00617A78">
        <w:rPr>
          <w:rFonts w:ascii="Times New Roman" w:hAnsi="Times New Roman" w:cs="Times New Roman"/>
        </w:rPr>
        <w:t>vacatur</w:t>
      </w:r>
      <w:proofErr w:type="spellEnd"/>
      <w:r w:rsidRPr="00617A78">
        <w:rPr>
          <w:rFonts w:ascii="Times New Roman" w:hAnsi="Times New Roman" w:cs="Times New Roman"/>
        </w:rPr>
        <w:t>, as understood in the [Ninth Circuit]….”</w:t>
      </w:r>
      <w:r w:rsidRPr="00617A78">
        <w:rPr>
          <w:rStyle w:val="FootnoteReference"/>
          <w:rFonts w:ascii="Times New Roman" w:hAnsi="Times New Roman" w:cs="Times New Roman"/>
        </w:rPr>
        <w:footnoteReference w:id="115"/>
      </w:r>
      <w:r w:rsidRPr="00617A78">
        <w:rPr>
          <w:rFonts w:ascii="Times New Roman" w:hAnsi="Times New Roman" w:cs="Times New Roman"/>
        </w:rPr>
        <w:t xml:space="preserve"> The Ninth Circuits reaffirmed its position in </w:t>
      </w:r>
      <w:r w:rsidRPr="00617A78">
        <w:rPr>
          <w:rFonts w:ascii="Times New Roman" w:hAnsi="Times New Roman" w:cs="Times New Roman"/>
          <w:i/>
          <w:iCs/>
        </w:rPr>
        <w:t>Wetzel's Pretzels, LLC v</w:t>
      </w:r>
      <w:r w:rsidR="00B72A31">
        <w:rPr>
          <w:rFonts w:ascii="Times New Roman" w:hAnsi="Times New Roman" w:cs="Times New Roman"/>
          <w:i/>
          <w:iCs/>
        </w:rPr>
        <w:t>.</w:t>
      </w:r>
      <w:r w:rsidRPr="00617A78">
        <w:rPr>
          <w:rFonts w:ascii="Times New Roman" w:hAnsi="Times New Roman" w:cs="Times New Roman"/>
          <w:i/>
          <w:iCs/>
        </w:rPr>
        <w:t xml:space="preserve"> Johnson</w:t>
      </w:r>
      <w:r w:rsidRPr="00617A78">
        <w:rPr>
          <w:rFonts w:ascii="Times New Roman" w:hAnsi="Times New Roman" w:cs="Times New Roman"/>
        </w:rPr>
        <w:t>, where the court stated that “[i]n order for us to vacate the award on the ground that the arbitrator exceeded his powers under § 10(a)(4),” the moving party must “show that the award was ‘completely irrational, or exhibit[</w:t>
      </w:r>
      <w:proofErr w:type="spellStart"/>
      <w:r w:rsidRPr="00617A78">
        <w:rPr>
          <w:rFonts w:ascii="Times New Roman" w:hAnsi="Times New Roman" w:cs="Times New Roman"/>
        </w:rPr>
        <w:t>ed</w:t>
      </w:r>
      <w:proofErr w:type="spellEnd"/>
      <w:r w:rsidRPr="00617A78">
        <w:rPr>
          <w:rFonts w:ascii="Times New Roman" w:hAnsi="Times New Roman" w:cs="Times New Roman"/>
        </w:rPr>
        <w:t>] a manifest disregard of law….’”</w:t>
      </w:r>
      <w:r w:rsidRPr="00617A78">
        <w:rPr>
          <w:rStyle w:val="FootnoteReference"/>
          <w:rFonts w:ascii="Times New Roman" w:hAnsi="Times New Roman" w:cs="Times New Roman"/>
        </w:rPr>
        <w:footnoteReference w:id="116"/>
      </w:r>
      <w:r w:rsidRPr="00617A78">
        <w:rPr>
          <w:rFonts w:ascii="Times New Roman" w:hAnsi="Times New Roman" w:cs="Times New Roman"/>
        </w:rPr>
        <w:t xml:space="preserve"> In order to vacate an arbitration award for manifest disregard of the law, the court noted, “‘it must be clear from the record that the arbitrators recognized the applicable law and then ignored it.’”</w:t>
      </w:r>
      <w:r w:rsidRPr="00617A78">
        <w:rPr>
          <w:rStyle w:val="FootnoteReference"/>
          <w:rFonts w:ascii="Times New Roman" w:hAnsi="Times New Roman" w:cs="Times New Roman"/>
        </w:rPr>
        <w:footnoteReference w:id="117"/>
      </w:r>
      <w:r w:rsidRPr="00617A78">
        <w:rPr>
          <w:rFonts w:ascii="Times New Roman" w:hAnsi="Times New Roman" w:cs="Times New Roman"/>
        </w:rPr>
        <w:t xml:space="preserve">  Thus, it is clear that that the Ninth Circuit has adopted the view that manifest disregard remains a viab</w:t>
      </w:r>
      <w:r w:rsidR="00D21602" w:rsidRPr="00617A78">
        <w:rPr>
          <w:rFonts w:ascii="Times New Roman" w:hAnsi="Times New Roman" w:cs="Times New Roman"/>
        </w:rPr>
        <w:t xml:space="preserve">le means for </w:t>
      </w:r>
      <w:proofErr w:type="spellStart"/>
      <w:r w:rsidR="00D21602" w:rsidRPr="00617A78">
        <w:rPr>
          <w:rFonts w:ascii="Times New Roman" w:hAnsi="Times New Roman" w:cs="Times New Roman"/>
        </w:rPr>
        <w:t>vacatur</w:t>
      </w:r>
      <w:proofErr w:type="spellEnd"/>
      <w:r w:rsidR="00D21602" w:rsidRPr="00617A78">
        <w:rPr>
          <w:rFonts w:ascii="Times New Roman" w:hAnsi="Times New Roman" w:cs="Times New Roman"/>
        </w:rPr>
        <w:t xml:space="preserve"> as a short</w:t>
      </w:r>
      <w:r w:rsidRPr="00617A78">
        <w:rPr>
          <w:rFonts w:ascii="Times New Roman" w:hAnsi="Times New Roman" w:cs="Times New Roman"/>
        </w:rPr>
        <w:t xml:space="preserve">hand for the statutory grounds set forth in FAA § 10. </w:t>
      </w:r>
    </w:p>
    <w:p w14:paraId="321DD615" w14:textId="77777777" w:rsidR="004E77D6" w:rsidRPr="00617A78" w:rsidRDefault="004E77D6" w:rsidP="004E77D6">
      <w:pPr>
        <w:widowControl w:val="0"/>
        <w:ind w:firstLine="720"/>
        <w:jc w:val="both"/>
        <w:rPr>
          <w:rFonts w:ascii="Times New Roman" w:hAnsi="Times New Roman" w:cs="Times New Roman"/>
        </w:rPr>
      </w:pPr>
    </w:p>
    <w:p w14:paraId="35C06613" w14:textId="77777777" w:rsidR="007C587F" w:rsidRPr="00617A78" w:rsidRDefault="007C587F" w:rsidP="004E77D6">
      <w:pPr>
        <w:pStyle w:val="ListParagraph"/>
        <w:widowControl w:val="0"/>
        <w:numPr>
          <w:ilvl w:val="1"/>
          <w:numId w:val="1"/>
        </w:numPr>
        <w:rPr>
          <w:rFonts w:ascii="Times New Roman" w:hAnsi="Times New Roman" w:cs="Times New Roman"/>
          <w:u w:val="single"/>
        </w:rPr>
      </w:pPr>
      <w:r w:rsidRPr="00617A78">
        <w:rPr>
          <w:rFonts w:ascii="Times New Roman" w:hAnsi="Times New Roman" w:cs="Times New Roman"/>
          <w:u w:val="single"/>
        </w:rPr>
        <w:t xml:space="preserve">Surviving, But Unsure  </w:t>
      </w:r>
    </w:p>
    <w:p w14:paraId="7076FA36" w14:textId="5BA21D04" w:rsidR="00983FEC" w:rsidRPr="00617A78" w:rsidRDefault="00983FEC" w:rsidP="004E77D6">
      <w:pPr>
        <w:pStyle w:val="ListParagraph"/>
        <w:widowControl w:val="0"/>
        <w:ind w:left="1440"/>
        <w:rPr>
          <w:rFonts w:ascii="Times New Roman" w:hAnsi="Times New Roman" w:cs="Times New Roman"/>
          <w:u w:val="single"/>
        </w:rPr>
      </w:pPr>
    </w:p>
    <w:p w14:paraId="3DAAAF15" w14:textId="1AF6C25C" w:rsidR="004E77D6" w:rsidRDefault="00983FEC" w:rsidP="00F51D28">
      <w:pPr>
        <w:widowControl w:val="0"/>
        <w:ind w:firstLine="720"/>
        <w:jc w:val="both"/>
        <w:rPr>
          <w:rFonts w:ascii="Times New Roman" w:hAnsi="Times New Roman" w:cs="Times New Roman"/>
        </w:rPr>
      </w:pPr>
      <w:r w:rsidRPr="00617A78">
        <w:rPr>
          <w:rFonts w:ascii="Times New Roman" w:hAnsi="Times New Roman" w:cs="Times New Roman"/>
        </w:rPr>
        <w:t>The doctrine of manifest disregard has survived in both</w:t>
      </w:r>
      <w:r w:rsidR="00844AF9">
        <w:rPr>
          <w:rFonts w:ascii="Times New Roman" w:hAnsi="Times New Roman" w:cs="Times New Roman"/>
        </w:rPr>
        <w:t xml:space="preserve"> the</w:t>
      </w:r>
      <w:r w:rsidRPr="00617A78">
        <w:rPr>
          <w:rFonts w:ascii="Times New Roman" w:hAnsi="Times New Roman" w:cs="Times New Roman"/>
        </w:rPr>
        <w:t xml:space="preserve"> Fourth and Tenth Circuits; however, both circuits have not taken a definitive position on whether or not the doc</w:t>
      </w:r>
      <w:r w:rsidR="00EA32A7" w:rsidRPr="00617A78">
        <w:rPr>
          <w:rFonts w:ascii="Times New Roman" w:hAnsi="Times New Roman" w:cs="Times New Roman"/>
        </w:rPr>
        <w:t xml:space="preserve">trine survives as a judicial gloss/shorthand </w:t>
      </w:r>
      <w:r w:rsidRPr="00617A78">
        <w:rPr>
          <w:rFonts w:ascii="Times New Roman" w:hAnsi="Times New Roman" w:cs="Times New Roman"/>
        </w:rPr>
        <w:t xml:space="preserve">or </w:t>
      </w:r>
      <w:r w:rsidR="00FB575C">
        <w:rPr>
          <w:rFonts w:ascii="Times New Roman" w:hAnsi="Times New Roman" w:cs="Times New Roman"/>
        </w:rPr>
        <w:t>a</w:t>
      </w:r>
      <w:r w:rsidR="00C70E7E">
        <w:rPr>
          <w:rFonts w:ascii="Times New Roman" w:hAnsi="Times New Roman" w:cs="Times New Roman"/>
        </w:rPr>
        <w:t>n</w:t>
      </w:r>
      <w:r w:rsidR="00FB575C">
        <w:rPr>
          <w:rFonts w:ascii="Times New Roman" w:hAnsi="Times New Roman" w:cs="Times New Roman"/>
        </w:rPr>
        <w:t xml:space="preserve"> </w:t>
      </w:r>
      <w:r w:rsidRPr="00617A78">
        <w:rPr>
          <w:rFonts w:ascii="Times New Roman" w:hAnsi="Times New Roman" w:cs="Times New Roman"/>
        </w:rPr>
        <w:t>independent</w:t>
      </w:r>
      <w:r w:rsidR="00D21602" w:rsidRPr="00617A78">
        <w:rPr>
          <w:rFonts w:ascii="Times New Roman" w:hAnsi="Times New Roman" w:cs="Times New Roman"/>
        </w:rPr>
        <w:t>, non-statutory,</w:t>
      </w:r>
      <w:r w:rsidRPr="00617A78">
        <w:rPr>
          <w:rFonts w:ascii="Times New Roman" w:hAnsi="Times New Roman" w:cs="Times New Roman"/>
        </w:rPr>
        <w:t xml:space="preserve"> ground for </w:t>
      </w:r>
      <w:proofErr w:type="spellStart"/>
      <w:r w:rsidRPr="00617A78">
        <w:rPr>
          <w:rFonts w:ascii="Times New Roman" w:hAnsi="Times New Roman" w:cs="Times New Roman"/>
        </w:rPr>
        <w:t>vacatur</w:t>
      </w:r>
      <w:proofErr w:type="spellEnd"/>
      <w:r w:rsidRPr="00617A78">
        <w:rPr>
          <w:rFonts w:ascii="Times New Roman" w:hAnsi="Times New Roman" w:cs="Times New Roman"/>
        </w:rPr>
        <w:t>.</w:t>
      </w:r>
    </w:p>
    <w:p w14:paraId="4E1A545D" w14:textId="580B8F18" w:rsidR="00983FEC" w:rsidRPr="00617A78" w:rsidRDefault="00983FEC" w:rsidP="004E77D6">
      <w:pPr>
        <w:widowControl w:val="0"/>
        <w:ind w:firstLine="720"/>
        <w:jc w:val="both"/>
        <w:rPr>
          <w:rFonts w:ascii="Times New Roman" w:hAnsi="Times New Roman" w:cs="Times New Roman"/>
        </w:rPr>
      </w:pPr>
      <w:r w:rsidRPr="00617A78">
        <w:rPr>
          <w:rFonts w:ascii="Times New Roman" w:hAnsi="Times New Roman" w:cs="Times New Roman"/>
        </w:rPr>
        <w:t xml:space="preserve"> </w:t>
      </w:r>
    </w:p>
    <w:p w14:paraId="4CF67BAA" w14:textId="77777777" w:rsidR="00983FEC" w:rsidRPr="00617A78" w:rsidRDefault="00983FEC" w:rsidP="004E77D6">
      <w:pPr>
        <w:pStyle w:val="ListParagraph"/>
        <w:widowControl w:val="0"/>
        <w:numPr>
          <w:ilvl w:val="2"/>
          <w:numId w:val="1"/>
        </w:numPr>
        <w:rPr>
          <w:rFonts w:ascii="Times New Roman" w:hAnsi="Times New Roman" w:cs="Times New Roman"/>
          <w:u w:val="single"/>
        </w:rPr>
      </w:pPr>
      <w:r w:rsidRPr="00617A78">
        <w:rPr>
          <w:rFonts w:ascii="Times New Roman" w:hAnsi="Times New Roman" w:cs="Times New Roman"/>
          <w:u w:val="single"/>
        </w:rPr>
        <w:t xml:space="preserve">Fourth &amp; Tenth Circuits </w:t>
      </w:r>
    </w:p>
    <w:p w14:paraId="2D4E5FED" w14:textId="77777777" w:rsidR="00983FEC" w:rsidRPr="00617A78" w:rsidRDefault="00983FEC" w:rsidP="004E77D6">
      <w:pPr>
        <w:widowControl w:val="0"/>
        <w:rPr>
          <w:rFonts w:ascii="Times New Roman" w:hAnsi="Times New Roman" w:cs="Times New Roman"/>
          <w:u w:val="single"/>
        </w:rPr>
      </w:pPr>
    </w:p>
    <w:p w14:paraId="1277BF5F" w14:textId="289D79E5" w:rsidR="00983FEC" w:rsidRDefault="00983FEC" w:rsidP="004E77D6">
      <w:pPr>
        <w:widowControl w:val="0"/>
        <w:ind w:firstLine="720"/>
        <w:jc w:val="both"/>
        <w:rPr>
          <w:rFonts w:ascii="Times New Roman" w:hAnsi="Times New Roman" w:cs="Times New Roman"/>
        </w:rPr>
      </w:pPr>
      <w:r w:rsidRPr="00617A78">
        <w:rPr>
          <w:rFonts w:ascii="Times New Roman" w:hAnsi="Times New Roman" w:cs="Times New Roman"/>
        </w:rPr>
        <w:t xml:space="preserve">In </w:t>
      </w:r>
      <w:r w:rsidRPr="00617A78">
        <w:rPr>
          <w:rFonts w:ascii="Times New Roman" w:hAnsi="Times New Roman" w:cs="Times New Roman"/>
          <w:i/>
        </w:rPr>
        <w:t>Wachovia Securities v. Brand</w:t>
      </w:r>
      <w:r w:rsidRPr="00617A78">
        <w:rPr>
          <w:rFonts w:ascii="Times New Roman" w:hAnsi="Times New Roman" w:cs="Times New Roman"/>
        </w:rPr>
        <w:t>, the Fourth Circuit determined that its pre-</w:t>
      </w:r>
      <w:r w:rsidRPr="00617A78">
        <w:rPr>
          <w:rFonts w:ascii="Times New Roman" w:hAnsi="Times New Roman" w:cs="Times New Roman"/>
          <w:i/>
        </w:rPr>
        <w:t xml:space="preserve">Hall Street </w:t>
      </w:r>
      <w:r w:rsidRPr="00617A78">
        <w:rPr>
          <w:rFonts w:ascii="Times New Roman" w:hAnsi="Times New Roman" w:cs="Times New Roman"/>
        </w:rPr>
        <w:t>understanding of manifest disregard</w:t>
      </w:r>
      <w:r w:rsidRPr="00617A78">
        <w:rPr>
          <w:rStyle w:val="FootnoteReference"/>
          <w:rFonts w:ascii="Times New Roman" w:hAnsi="Times New Roman" w:cs="Times New Roman"/>
        </w:rPr>
        <w:footnoteReference w:id="118"/>
      </w:r>
      <w:r w:rsidRPr="00617A78">
        <w:rPr>
          <w:rFonts w:ascii="Times New Roman" w:hAnsi="Times New Roman" w:cs="Times New Roman"/>
        </w:rPr>
        <w:t xml:space="preserve"> remained controlling.</w:t>
      </w:r>
      <w:r w:rsidRPr="00617A78">
        <w:rPr>
          <w:rStyle w:val="FootnoteReference"/>
          <w:rFonts w:ascii="Times New Roman" w:hAnsi="Times New Roman" w:cs="Times New Roman"/>
        </w:rPr>
        <w:footnoteReference w:id="119"/>
      </w:r>
      <w:r w:rsidRPr="00617A78">
        <w:rPr>
          <w:rFonts w:ascii="Times New Roman" w:hAnsi="Times New Roman" w:cs="Times New Roman"/>
        </w:rPr>
        <w:t xml:space="preserve"> However, the court did not affirmatively determine the status of the doctrine; rather, the court found that “manifest disregard continues to exist as either an independent ground for review or as a judicial gloss, we need not decide which of the two….”</w:t>
      </w:r>
      <w:r w:rsidRPr="00617A78">
        <w:rPr>
          <w:rStyle w:val="FootnoteReference"/>
          <w:rFonts w:ascii="Times New Roman" w:hAnsi="Times New Roman" w:cs="Times New Roman"/>
        </w:rPr>
        <w:footnoteReference w:id="120"/>
      </w:r>
      <w:r w:rsidRPr="00617A78">
        <w:rPr>
          <w:rFonts w:ascii="Times New Roman" w:hAnsi="Times New Roman" w:cs="Times New Roman"/>
        </w:rPr>
        <w:t xml:space="preserve"> This position </w:t>
      </w:r>
      <w:r w:rsidRPr="00617A78">
        <w:rPr>
          <w:rFonts w:ascii="Times New Roman" w:hAnsi="Times New Roman" w:cs="Times New Roman"/>
        </w:rPr>
        <w:lastRenderedPageBreak/>
        <w:t xml:space="preserve">was confirmed in a footnote in </w:t>
      </w:r>
      <w:proofErr w:type="spellStart"/>
      <w:r w:rsidRPr="00617A78">
        <w:rPr>
          <w:rFonts w:ascii="Times New Roman" w:hAnsi="Times New Roman" w:cs="Times New Roman"/>
          <w:i/>
          <w:iCs/>
        </w:rPr>
        <w:t>Dewan</w:t>
      </w:r>
      <w:proofErr w:type="spellEnd"/>
      <w:r w:rsidRPr="00617A78">
        <w:rPr>
          <w:rFonts w:ascii="Times New Roman" w:hAnsi="Times New Roman" w:cs="Times New Roman"/>
          <w:i/>
          <w:iCs/>
        </w:rPr>
        <w:t xml:space="preserve"> v</w:t>
      </w:r>
      <w:r w:rsidR="00B72A31">
        <w:rPr>
          <w:rFonts w:ascii="Times New Roman" w:hAnsi="Times New Roman" w:cs="Times New Roman"/>
          <w:i/>
          <w:iCs/>
        </w:rPr>
        <w:t>.</w:t>
      </w:r>
      <w:r w:rsidRPr="00617A78">
        <w:rPr>
          <w:rFonts w:ascii="Times New Roman" w:hAnsi="Times New Roman" w:cs="Times New Roman"/>
          <w:i/>
          <w:iCs/>
        </w:rPr>
        <w:t xml:space="preserve"> </w:t>
      </w:r>
      <w:proofErr w:type="spellStart"/>
      <w:r w:rsidRPr="00617A78">
        <w:rPr>
          <w:rFonts w:ascii="Times New Roman" w:hAnsi="Times New Roman" w:cs="Times New Roman"/>
          <w:i/>
          <w:iCs/>
        </w:rPr>
        <w:t>Walia</w:t>
      </w:r>
      <w:proofErr w:type="spellEnd"/>
      <w:r w:rsidRPr="00617A78">
        <w:rPr>
          <w:rFonts w:ascii="Times New Roman" w:hAnsi="Times New Roman" w:cs="Times New Roman"/>
        </w:rPr>
        <w:t xml:space="preserve">, where the court noted that the Fourth Circuit has “recognized that ‘manifest disregard continues to exist’ as a basis for vacating an arbitration award, either as ‘an independent ground for review or as a judicial gloss’ on the enumerated grounds for </w:t>
      </w:r>
      <w:proofErr w:type="spellStart"/>
      <w:r w:rsidRPr="00617A78">
        <w:rPr>
          <w:rFonts w:ascii="Times New Roman" w:hAnsi="Times New Roman" w:cs="Times New Roman"/>
        </w:rPr>
        <w:t>vacatur</w:t>
      </w:r>
      <w:proofErr w:type="spellEnd"/>
      <w:r w:rsidRPr="00617A78">
        <w:rPr>
          <w:rFonts w:ascii="Times New Roman" w:hAnsi="Times New Roman" w:cs="Times New Roman"/>
        </w:rPr>
        <w:t xml:space="preserve"> set forth in the FAA.”</w:t>
      </w:r>
      <w:r w:rsidRPr="00617A78">
        <w:rPr>
          <w:rStyle w:val="FootnoteReference"/>
          <w:rFonts w:ascii="Times New Roman" w:hAnsi="Times New Roman" w:cs="Times New Roman"/>
        </w:rPr>
        <w:footnoteReference w:id="121"/>
      </w:r>
    </w:p>
    <w:p w14:paraId="4E7D7D16" w14:textId="77777777" w:rsidR="004E77D6" w:rsidRPr="00617A78" w:rsidRDefault="004E77D6" w:rsidP="004E77D6">
      <w:pPr>
        <w:widowControl w:val="0"/>
        <w:ind w:firstLine="720"/>
        <w:jc w:val="both"/>
        <w:rPr>
          <w:rFonts w:ascii="Times New Roman" w:hAnsi="Times New Roman" w:cs="Times New Roman"/>
        </w:rPr>
      </w:pPr>
    </w:p>
    <w:p w14:paraId="16F54F3E" w14:textId="3C5A1B29" w:rsidR="00983FEC" w:rsidRDefault="00983FEC" w:rsidP="00F51D28">
      <w:pPr>
        <w:widowControl w:val="0"/>
        <w:ind w:firstLine="720"/>
        <w:jc w:val="both"/>
        <w:rPr>
          <w:rFonts w:ascii="Times New Roman" w:hAnsi="Times New Roman" w:cs="Times New Roman"/>
        </w:rPr>
      </w:pPr>
      <w:proofErr w:type="gramStart"/>
      <w:r w:rsidRPr="00617A78">
        <w:rPr>
          <w:rFonts w:ascii="Times New Roman" w:hAnsi="Times New Roman" w:cs="Times New Roman"/>
        </w:rPr>
        <w:t xml:space="preserve">In </w:t>
      </w:r>
      <w:r w:rsidRPr="00617A78">
        <w:rPr>
          <w:rFonts w:ascii="Times New Roman" w:hAnsi="Times New Roman" w:cs="Times New Roman"/>
          <w:i/>
          <w:iCs/>
        </w:rPr>
        <w:t xml:space="preserve">Adviser Dealer </w:t>
      </w:r>
      <w:proofErr w:type="spellStart"/>
      <w:r w:rsidRPr="00617A78">
        <w:rPr>
          <w:rFonts w:ascii="Times New Roman" w:hAnsi="Times New Roman" w:cs="Times New Roman"/>
          <w:i/>
          <w:iCs/>
        </w:rPr>
        <w:t>Servs</w:t>
      </w:r>
      <w:proofErr w:type="spellEnd"/>
      <w:r w:rsidRPr="00617A78">
        <w:rPr>
          <w:rFonts w:ascii="Times New Roman" w:hAnsi="Times New Roman" w:cs="Times New Roman"/>
          <w:i/>
          <w:iCs/>
        </w:rPr>
        <w:t>.</w:t>
      </w:r>
      <w:proofErr w:type="gramEnd"/>
      <w:r w:rsidRPr="00617A78">
        <w:rPr>
          <w:rFonts w:ascii="Times New Roman" w:hAnsi="Times New Roman" w:cs="Times New Roman"/>
          <w:i/>
          <w:iCs/>
        </w:rPr>
        <w:t xml:space="preserve"> v</w:t>
      </w:r>
      <w:r w:rsidR="00B72A31">
        <w:rPr>
          <w:rFonts w:ascii="Times New Roman" w:hAnsi="Times New Roman" w:cs="Times New Roman"/>
          <w:i/>
          <w:iCs/>
        </w:rPr>
        <w:t>.</w:t>
      </w:r>
      <w:r w:rsidRPr="00617A78">
        <w:rPr>
          <w:rFonts w:ascii="Times New Roman" w:hAnsi="Times New Roman" w:cs="Times New Roman"/>
          <w:i/>
          <w:iCs/>
        </w:rPr>
        <w:t xml:space="preserve"> Icon Advisers, Inc.</w:t>
      </w:r>
      <w:r w:rsidRPr="00617A78">
        <w:rPr>
          <w:rFonts w:ascii="Times New Roman" w:hAnsi="Times New Roman" w:cs="Times New Roman"/>
        </w:rPr>
        <w:t xml:space="preserve">, the Tenth Circuit acknowledged that manifest disregard remains a viable means for vacating an arbitral award: </w:t>
      </w:r>
    </w:p>
    <w:p w14:paraId="3F348803" w14:textId="77777777" w:rsidR="004E77D6" w:rsidRPr="00617A78" w:rsidRDefault="004E77D6" w:rsidP="004E77D6">
      <w:pPr>
        <w:widowControl w:val="0"/>
        <w:ind w:firstLine="720"/>
        <w:jc w:val="both"/>
        <w:rPr>
          <w:rFonts w:ascii="Times New Roman" w:hAnsi="Times New Roman" w:cs="Times New Roman"/>
        </w:rPr>
      </w:pPr>
    </w:p>
    <w:p w14:paraId="5BEDCC0C" w14:textId="77777777" w:rsidR="00983FEC" w:rsidRPr="00617A78" w:rsidRDefault="00983FEC" w:rsidP="004E77D6">
      <w:pPr>
        <w:widowControl w:val="0"/>
        <w:autoSpaceDE w:val="0"/>
        <w:autoSpaceDN w:val="0"/>
        <w:adjustRightInd w:val="0"/>
        <w:ind w:left="450" w:right="270"/>
        <w:jc w:val="both"/>
        <w:rPr>
          <w:rFonts w:ascii="Times New Roman" w:hAnsi="Times New Roman" w:cs="Times New Roman"/>
        </w:rPr>
      </w:pPr>
      <w:r w:rsidRPr="00617A78">
        <w:rPr>
          <w:rFonts w:ascii="Times New Roman" w:hAnsi="Times New Roman" w:cs="Times New Roman"/>
        </w:rPr>
        <w:t>A district court may vacate an arbitration award only “for the reasons enumerated in the Federal Arbitration Act, 9 U.S.C. § 10, or for ‘a handful of judicially created reasons.’” These judicially created reasons ‘include violations of public policy, manifest disregard of the law, and denial of a fundamentally fair hearing.”</w:t>
      </w:r>
      <w:r w:rsidRPr="00617A78">
        <w:rPr>
          <w:rStyle w:val="FootnoteReference"/>
          <w:rFonts w:ascii="Times New Roman" w:hAnsi="Times New Roman" w:cs="Times New Roman"/>
        </w:rPr>
        <w:footnoteReference w:id="122"/>
      </w:r>
    </w:p>
    <w:p w14:paraId="6733DD2A" w14:textId="77777777" w:rsidR="00560E44" w:rsidRPr="00617A78" w:rsidRDefault="00560E44" w:rsidP="004E77D6">
      <w:pPr>
        <w:widowControl w:val="0"/>
        <w:rPr>
          <w:rFonts w:ascii="Times New Roman" w:hAnsi="Times New Roman" w:cs="Times New Roman"/>
        </w:rPr>
      </w:pPr>
    </w:p>
    <w:p w14:paraId="7819BBAE" w14:textId="0CED2B98" w:rsidR="005D3F8D" w:rsidRDefault="00983FEC" w:rsidP="004E77D6">
      <w:pPr>
        <w:widowControl w:val="0"/>
        <w:jc w:val="both"/>
        <w:rPr>
          <w:rFonts w:ascii="Times New Roman" w:hAnsi="Times New Roman" w:cs="Times New Roman"/>
        </w:rPr>
      </w:pPr>
      <w:r w:rsidRPr="00617A78">
        <w:rPr>
          <w:rFonts w:ascii="Times New Roman" w:hAnsi="Times New Roman" w:cs="Times New Roman"/>
        </w:rPr>
        <w:t xml:space="preserve">However, the court does not elaborated on whether or not the doctrine is seen as a </w:t>
      </w:r>
      <w:r w:rsidR="00156357">
        <w:rPr>
          <w:rFonts w:ascii="Times New Roman" w:hAnsi="Times New Roman" w:cs="Times New Roman"/>
        </w:rPr>
        <w:t>shorthand/</w:t>
      </w:r>
      <w:r w:rsidRPr="00617A78">
        <w:rPr>
          <w:rFonts w:ascii="Times New Roman" w:hAnsi="Times New Roman" w:cs="Times New Roman"/>
        </w:rPr>
        <w:t xml:space="preserve">judicial gloss or an independent ground for </w:t>
      </w:r>
      <w:proofErr w:type="spellStart"/>
      <w:r w:rsidRPr="00617A78">
        <w:rPr>
          <w:rFonts w:ascii="Times New Roman" w:hAnsi="Times New Roman" w:cs="Times New Roman"/>
        </w:rPr>
        <w:t>vacatur</w:t>
      </w:r>
      <w:proofErr w:type="spellEnd"/>
      <w:r w:rsidRPr="00617A78">
        <w:rPr>
          <w:rFonts w:ascii="Times New Roman" w:hAnsi="Times New Roman" w:cs="Times New Roman"/>
        </w:rPr>
        <w:t xml:space="preserve">. Guidance as to the Tenth Circuit’s position in this regard may be found in the unpublished opinion </w:t>
      </w:r>
      <w:r w:rsidRPr="00617A78">
        <w:rPr>
          <w:rFonts w:ascii="Times New Roman" w:hAnsi="Times New Roman" w:cs="Times New Roman"/>
          <w:i/>
        </w:rPr>
        <w:t>Abbot v. Law Office of Patrick K. Milligan</w:t>
      </w:r>
      <w:r w:rsidRPr="00617A78">
        <w:rPr>
          <w:rFonts w:ascii="Times New Roman" w:hAnsi="Times New Roman" w:cs="Times New Roman"/>
        </w:rPr>
        <w:t>.</w:t>
      </w:r>
      <w:r w:rsidRPr="00617A78">
        <w:rPr>
          <w:rStyle w:val="FootnoteReference"/>
          <w:rFonts w:ascii="Times New Roman" w:hAnsi="Times New Roman" w:cs="Times New Roman"/>
        </w:rPr>
        <w:footnoteReference w:id="123"/>
      </w:r>
      <w:r w:rsidRPr="00617A78">
        <w:rPr>
          <w:rFonts w:ascii="Times New Roman" w:hAnsi="Times New Roman" w:cs="Times New Roman"/>
        </w:rPr>
        <w:t xml:space="preserve"> There, the court “expressed the opinion that a willful decision of an arbitrator to apply controlling law might fall within §10 even though the claimed ground for </w:t>
      </w:r>
      <w:proofErr w:type="spellStart"/>
      <w:r w:rsidRPr="00617A78">
        <w:rPr>
          <w:rFonts w:ascii="Times New Roman" w:hAnsi="Times New Roman" w:cs="Times New Roman"/>
        </w:rPr>
        <w:t>vacatur</w:t>
      </w:r>
      <w:proofErr w:type="spellEnd"/>
      <w:r w:rsidRPr="00617A78">
        <w:rPr>
          <w:rFonts w:ascii="Times New Roman" w:hAnsi="Times New Roman" w:cs="Times New Roman"/>
        </w:rPr>
        <w:t xml:space="preserve"> is expressed in terms of manifest disregard of the law.”</w:t>
      </w:r>
      <w:r w:rsidRPr="00617A78">
        <w:rPr>
          <w:rStyle w:val="FootnoteReference"/>
          <w:rFonts w:ascii="Times New Roman" w:hAnsi="Times New Roman" w:cs="Times New Roman"/>
        </w:rPr>
        <w:footnoteReference w:id="124"/>
      </w:r>
      <w:r w:rsidRPr="00617A78">
        <w:rPr>
          <w:rFonts w:ascii="Times New Roman" w:hAnsi="Times New Roman" w:cs="Times New Roman"/>
        </w:rPr>
        <w:t xml:space="preserve"> </w:t>
      </w:r>
      <w:r w:rsidR="00AE64C9" w:rsidRPr="00617A78">
        <w:rPr>
          <w:rFonts w:ascii="Times New Roman" w:hAnsi="Times New Roman" w:cs="Times New Roman"/>
        </w:rPr>
        <w:t xml:space="preserve">Thus, it appears that the Tenth Circuit </w:t>
      </w:r>
      <w:r w:rsidR="00CD2BE5" w:rsidRPr="00617A78">
        <w:rPr>
          <w:rFonts w:ascii="Times New Roman" w:hAnsi="Times New Roman" w:cs="Times New Roman"/>
        </w:rPr>
        <w:t xml:space="preserve">may be leaning towards the view that manifest disregard remains viable as a </w:t>
      </w:r>
      <w:r w:rsidR="009E0539">
        <w:rPr>
          <w:rFonts w:ascii="Times New Roman" w:hAnsi="Times New Roman" w:cs="Times New Roman"/>
        </w:rPr>
        <w:t>judicial gloss/</w:t>
      </w:r>
      <w:r w:rsidR="00CD2BE5" w:rsidRPr="00617A78">
        <w:rPr>
          <w:rFonts w:ascii="Times New Roman" w:hAnsi="Times New Roman" w:cs="Times New Roman"/>
        </w:rPr>
        <w:t xml:space="preserve">shorthand for FAA § 10. </w:t>
      </w:r>
    </w:p>
    <w:p w14:paraId="5D52BED1" w14:textId="77777777" w:rsidR="004E77D6" w:rsidRPr="00617A78" w:rsidRDefault="004E77D6" w:rsidP="004E77D6">
      <w:pPr>
        <w:widowControl w:val="0"/>
        <w:jc w:val="both"/>
        <w:rPr>
          <w:rFonts w:ascii="Times New Roman" w:hAnsi="Times New Roman" w:cs="Times New Roman"/>
        </w:rPr>
      </w:pPr>
    </w:p>
    <w:p w14:paraId="5A4F8958" w14:textId="273F4533" w:rsidR="007C587F" w:rsidRDefault="007C587F" w:rsidP="004E77D6">
      <w:pPr>
        <w:pStyle w:val="ListParagraph"/>
        <w:widowControl w:val="0"/>
        <w:numPr>
          <w:ilvl w:val="0"/>
          <w:numId w:val="1"/>
        </w:numPr>
        <w:rPr>
          <w:rFonts w:ascii="Times New Roman" w:hAnsi="Times New Roman" w:cs="Times New Roman"/>
          <w:b/>
          <w:u w:val="single"/>
        </w:rPr>
      </w:pPr>
      <w:r w:rsidRPr="00617A78">
        <w:rPr>
          <w:rFonts w:ascii="Times New Roman" w:hAnsi="Times New Roman" w:cs="Times New Roman"/>
          <w:b/>
          <w:u w:val="single"/>
        </w:rPr>
        <w:t>Future of Manifest Disregard</w:t>
      </w:r>
    </w:p>
    <w:p w14:paraId="4A6F4F10" w14:textId="77777777" w:rsidR="004E77D6" w:rsidRPr="00617A78" w:rsidRDefault="004E77D6" w:rsidP="004E77D6">
      <w:pPr>
        <w:pStyle w:val="ListParagraph"/>
        <w:widowControl w:val="0"/>
        <w:rPr>
          <w:rFonts w:ascii="Times New Roman" w:hAnsi="Times New Roman" w:cs="Times New Roman"/>
          <w:b/>
          <w:u w:val="single"/>
        </w:rPr>
      </w:pPr>
    </w:p>
    <w:p w14:paraId="389DD576" w14:textId="7DAAEE03" w:rsidR="00520741" w:rsidRDefault="00520741" w:rsidP="00F51D28">
      <w:pPr>
        <w:widowControl w:val="0"/>
        <w:ind w:firstLine="720"/>
        <w:jc w:val="both"/>
        <w:rPr>
          <w:rFonts w:ascii="Times New Roman" w:hAnsi="Times New Roman" w:cs="Times New Roman"/>
        </w:rPr>
      </w:pPr>
      <w:r w:rsidRPr="00617A78">
        <w:rPr>
          <w:rFonts w:ascii="Times New Roman" w:hAnsi="Times New Roman" w:cs="Times New Roman"/>
        </w:rPr>
        <w:t xml:space="preserve">The future of manifest disregarded is far from certain. Some speculate that the Supreme Court’s decision in </w:t>
      </w:r>
      <w:r w:rsidRPr="00617A78">
        <w:rPr>
          <w:rFonts w:ascii="Times New Roman" w:hAnsi="Times New Roman" w:cs="Times New Roman"/>
          <w:i/>
        </w:rPr>
        <w:t xml:space="preserve">Hall Street </w:t>
      </w:r>
      <w:r w:rsidRPr="00617A78">
        <w:rPr>
          <w:rFonts w:ascii="Times New Roman" w:hAnsi="Times New Roman" w:cs="Times New Roman"/>
        </w:rPr>
        <w:t xml:space="preserve">effectively </w:t>
      </w:r>
      <w:r w:rsidR="00433D6F" w:rsidRPr="00617A78">
        <w:rPr>
          <w:rFonts w:ascii="Times New Roman" w:hAnsi="Times New Roman" w:cs="Times New Roman"/>
        </w:rPr>
        <w:t>abrogated the doctrine (</w:t>
      </w:r>
      <w:r w:rsidRPr="00617A78">
        <w:rPr>
          <w:rFonts w:ascii="Times New Roman" w:hAnsi="Times New Roman" w:cs="Times New Roman"/>
        </w:rPr>
        <w:t>at least as</w:t>
      </w:r>
      <w:r w:rsidR="006B5DB0">
        <w:rPr>
          <w:rFonts w:ascii="Times New Roman" w:hAnsi="Times New Roman" w:cs="Times New Roman"/>
        </w:rPr>
        <w:t xml:space="preserve"> a</w:t>
      </w:r>
      <w:r w:rsidRPr="00617A78">
        <w:rPr>
          <w:rFonts w:ascii="Times New Roman" w:hAnsi="Times New Roman" w:cs="Times New Roman"/>
        </w:rPr>
        <w:t xml:space="preserve"> common-law ground for </w:t>
      </w:r>
      <w:proofErr w:type="spellStart"/>
      <w:r w:rsidRPr="00617A78">
        <w:rPr>
          <w:rFonts w:ascii="Times New Roman" w:hAnsi="Times New Roman" w:cs="Times New Roman"/>
        </w:rPr>
        <w:t>vacatur</w:t>
      </w:r>
      <w:proofErr w:type="spellEnd"/>
      <w:r w:rsidR="00433D6F" w:rsidRPr="00617A78">
        <w:rPr>
          <w:rFonts w:ascii="Times New Roman" w:hAnsi="Times New Roman" w:cs="Times New Roman"/>
        </w:rPr>
        <w:t>)</w:t>
      </w:r>
      <w:r w:rsidRPr="00617A78">
        <w:rPr>
          <w:rFonts w:ascii="Times New Roman" w:hAnsi="Times New Roman" w:cs="Times New Roman"/>
        </w:rPr>
        <w:t>, while others maintain that the doctrine has survived post-</w:t>
      </w:r>
      <w:r w:rsidRPr="00617A78">
        <w:rPr>
          <w:rFonts w:ascii="Times New Roman" w:hAnsi="Times New Roman" w:cs="Times New Roman"/>
          <w:i/>
        </w:rPr>
        <w:t xml:space="preserve">Hall Street </w:t>
      </w:r>
      <w:r w:rsidRPr="00617A78">
        <w:rPr>
          <w:rFonts w:ascii="Times New Roman" w:hAnsi="Times New Roman" w:cs="Times New Roman"/>
        </w:rPr>
        <w:t>as common-law or a shorthand/judicial gloss</w:t>
      </w:r>
      <w:r w:rsidR="00433D6F" w:rsidRPr="00617A78">
        <w:rPr>
          <w:rFonts w:ascii="Times New Roman" w:hAnsi="Times New Roman" w:cs="Times New Roman"/>
        </w:rPr>
        <w:t xml:space="preserve"> for the grounds listed in FAA § 10</w:t>
      </w:r>
      <w:r w:rsidRPr="00617A78">
        <w:rPr>
          <w:rFonts w:ascii="Times New Roman" w:hAnsi="Times New Roman" w:cs="Times New Roman"/>
        </w:rPr>
        <w:t>. In this author’s opinion</w:t>
      </w:r>
      <w:r w:rsidR="00EA6D0F" w:rsidRPr="00617A78">
        <w:rPr>
          <w:rFonts w:ascii="Times New Roman" w:hAnsi="Times New Roman" w:cs="Times New Roman"/>
        </w:rPr>
        <w:t>,</w:t>
      </w:r>
      <w:r w:rsidRPr="00617A78">
        <w:rPr>
          <w:rFonts w:ascii="Times New Roman" w:hAnsi="Times New Roman" w:cs="Times New Roman"/>
        </w:rPr>
        <w:t xml:space="preserve"> the doctrine survived </w:t>
      </w:r>
      <w:r w:rsidRPr="00617A78">
        <w:rPr>
          <w:rFonts w:ascii="Times New Roman" w:hAnsi="Times New Roman" w:cs="Times New Roman"/>
          <w:i/>
        </w:rPr>
        <w:t xml:space="preserve">Hall Street </w:t>
      </w:r>
      <w:r w:rsidRPr="00617A78">
        <w:rPr>
          <w:rFonts w:ascii="Times New Roman" w:hAnsi="Times New Roman" w:cs="Times New Roman"/>
        </w:rPr>
        <w:t xml:space="preserve">and remains </w:t>
      </w:r>
      <w:r w:rsidRPr="00617A78">
        <w:rPr>
          <w:rFonts w:ascii="Times New Roman" w:hAnsi="Times New Roman" w:cs="Times New Roman"/>
        </w:rPr>
        <w:lastRenderedPageBreak/>
        <w:t xml:space="preserve">a viable and valid means for vacating arbitral awards, possibly as common-law, but more likely as a shorthand/judicial gloss for FAA § 10. Below this section takes the position that the doctrine remains viable for two primary reasons: (1) the </w:t>
      </w:r>
      <w:r w:rsidR="00433D6F" w:rsidRPr="00617A78">
        <w:rPr>
          <w:rFonts w:ascii="Times New Roman" w:hAnsi="Times New Roman" w:cs="Times New Roman"/>
        </w:rPr>
        <w:t xml:space="preserve">Supreme </w:t>
      </w:r>
      <w:r w:rsidRPr="00617A78">
        <w:rPr>
          <w:rFonts w:ascii="Times New Roman" w:hAnsi="Times New Roman" w:cs="Times New Roman"/>
        </w:rPr>
        <w:t xml:space="preserve">Court’s decision in </w:t>
      </w:r>
      <w:r w:rsidRPr="00617A78">
        <w:rPr>
          <w:rFonts w:ascii="Times New Roman" w:hAnsi="Times New Roman" w:cs="Times New Roman"/>
          <w:i/>
        </w:rPr>
        <w:t xml:space="preserve">Hall Street </w:t>
      </w:r>
      <w:r w:rsidR="00433D6F" w:rsidRPr="00617A78">
        <w:rPr>
          <w:rFonts w:ascii="Times New Roman" w:hAnsi="Times New Roman" w:cs="Times New Roman"/>
        </w:rPr>
        <w:t xml:space="preserve">did not abandon the doctrine; </w:t>
      </w:r>
      <w:r w:rsidRPr="00617A78">
        <w:rPr>
          <w:rFonts w:ascii="Times New Roman" w:hAnsi="Times New Roman" w:cs="Times New Roman"/>
        </w:rPr>
        <w:t>rather</w:t>
      </w:r>
      <w:r w:rsidR="00433D6F" w:rsidRPr="00617A78">
        <w:rPr>
          <w:rFonts w:ascii="Times New Roman" w:hAnsi="Times New Roman" w:cs="Times New Roman"/>
        </w:rPr>
        <w:t xml:space="preserve">, the Court’s opinion indicates </w:t>
      </w:r>
      <w:r w:rsidRPr="00617A78">
        <w:rPr>
          <w:rFonts w:ascii="Times New Roman" w:hAnsi="Times New Roman" w:cs="Times New Roman"/>
        </w:rPr>
        <w:t xml:space="preserve">that </w:t>
      </w:r>
      <w:r w:rsidR="00433D6F" w:rsidRPr="00617A78">
        <w:rPr>
          <w:rFonts w:ascii="Times New Roman" w:hAnsi="Times New Roman" w:cs="Times New Roman"/>
        </w:rPr>
        <w:t>manifest disregard</w:t>
      </w:r>
      <w:r w:rsidRPr="00617A78">
        <w:rPr>
          <w:rFonts w:ascii="Times New Roman" w:hAnsi="Times New Roman" w:cs="Times New Roman"/>
        </w:rPr>
        <w:t xml:space="preserve"> remains val</w:t>
      </w:r>
      <w:r w:rsidR="00433D6F" w:rsidRPr="00617A78">
        <w:rPr>
          <w:rFonts w:ascii="Times New Roman" w:hAnsi="Times New Roman" w:cs="Times New Roman"/>
        </w:rPr>
        <w:t>id</w:t>
      </w:r>
      <w:r w:rsidR="002C6C12" w:rsidRPr="00617A78">
        <w:rPr>
          <w:rFonts w:ascii="Times New Roman" w:hAnsi="Times New Roman" w:cs="Times New Roman"/>
        </w:rPr>
        <w:t>, possibly as common-law, but most likely</w:t>
      </w:r>
      <w:r w:rsidR="00433D6F" w:rsidRPr="00617A78">
        <w:rPr>
          <w:rFonts w:ascii="Times New Roman" w:hAnsi="Times New Roman" w:cs="Times New Roman"/>
        </w:rPr>
        <w:t xml:space="preserve"> as a judicial gloss or short</w:t>
      </w:r>
      <w:r w:rsidRPr="00617A78">
        <w:rPr>
          <w:rFonts w:ascii="Times New Roman" w:hAnsi="Times New Roman" w:cs="Times New Roman"/>
        </w:rPr>
        <w:t xml:space="preserve">hand for </w:t>
      </w:r>
      <w:r w:rsidR="00433D6F" w:rsidRPr="00617A78">
        <w:rPr>
          <w:rFonts w:ascii="Times New Roman" w:hAnsi="Times New Roman" w:cs="Times New Roman"/>
        </w:rPr>
        <w:t xml:space="preserve">the grounds enumerated in </w:t>
      </w:r>
      <w:r w:rsidRPr="00617A78">
        <w:rPr>
          <w:rFonts w:ascii="Times New Roman" w:hAnsi="Times New Roman" w:cs="Times New Roman"/>
        </w:rPr>
        <w:t xml:space="preserve">FAA § 10, and (2) the majority of Circuit Courts continue to recognize the viability of manifest disregard, in one form or another, despite </w:t>
      </w:r>
      <w:r w:rsidRPr="00617A78">
        <w:rPr>
          <w:rFonts w:ascii="Times New Roman" w:hAnsi="Times New Roman" w:cs="Times New Roman"/>
          <w:i/>
        </w:rPr>
        <w:t>Hall Street</w:t>
      </w:r>
      <w:r w:rsidRPr="00617A78">
        <w:rPr>
          <w:rFonts w:ascii="Times New Roman" w:hAnsi="Times New Roman" w:cs="Times New Roman"/>
        </w:rPr>
        <w:t xml:space="preserve">. </w:t>
      </w:r>
    </w:p>
    <w:p w14:paraId="2B38EB4F" w14:textId="77777777" w:rsidR="004E77D6" w:rsidRPr="00617A78" w:rsidRDefault="004E77D6" w:rsidP="004E77D6">
      <w:pPr>
        <w:widowControl w:val="0"/>
        <w:ind w:firstLine="360"/>
        <w:jc w:val="both"/>
        <w:rPr>
          <w:rFonts w:ascii="Times New Roman" w:hAnsi="Times New Roman" w:cs="Times New Roman"/>
        </w:rPr>
      </w:pPr>
    </w:p>
    <w:p w14:paraId="1F9C274F" w14:textId="6CB1E5D9" w:rsidR="002C6C12" w:rsidRDefault="00284003" w:rsidP="00F51D28">
      <w:pPr>
        <w:widowControl w:val="0"/>
        <w:ind w:firstLine="720"/>
        <w:jc w:val="both"/>
        <w:rPr>
          <w:rFonts w:ascii="Times New Roman" w:hAnsi="Times New Roman" w:cs="Times New Roman"/>
        </w:rPr>
      </w:pPr>
      <w:r w:rsidRPr="00617A78">
        <w:rPr>
          <w:rFonts w:ascii="Times New Roman" w:hAnsi="Times New Roman" w:cs="Times New Roman"/>
        </w:rPr>
        <w:t>First of all</w:t>
      </w:r>
      <w:r w:rsidR="00D16EE0" w:rsidRPr="00617A78">
        <w:rPr>
          <w:rFonts w:ascii="Times New Roman" w:hAnsi="Times New Roman" w:cs="Times New Roman"/>
        </w:rPr>
        <w:t xml:space="preserve">, it must be noted that </w:t>
      </w:r>
      <w:r w:rsidRPr="00617A78">
        <w:rPr>
          <w:rFonts w:ascii="Times New Roman" w:hAnsi="Times New Roman" w:cs="Times New Roman"/>
        </w:rPr>
        <w:t>the</w:t>
      </w:r>
      <w:r w:rsidR="00D16EE0" w:rsidRPr="00617A78">
        <w:rPr>
          <w:rFonts w:ascii="Times New Roman" w:hAnsi="Times New Roman" w:cs="Times New Roman"/>
        </w:rPr>
        <w:t xml:space="preserve"> </w:t>
      </w:r>
      <w:r w:rsidRPr="00617A78">
        <w:rPr>
          <w:rFonts w:ascii="Times New Roman" w:hAnsi="Times New Roman" w:cs="Times New Roman"/>
        </w:rPr>
        <w:t xml:space="preserve">language </w:t>
      </w:r>
      <w:r w:rsidR="00191310" w:rsidRPr="00617A78">
        <w:rPr>
          <w:rFonts w:ascii="Times New Roman" w:hAnsi="Times New Roman" w:cs="Times New Roman"/>
        </w:rPr>
        <w:t xml:space="preserve">in </w:t>
      </w:r>
      <w:r w:rsidR="00191310" w:rsidRPr="00617A78">
        <w:rPr>
          <w:rFonts w:ascii="Times New Roman" w:hAnsi="Times New Roman" w:cs="Times New Roman"/>
          <w:i/>
        </w:rPr>
        <w:t xml:space="preserve">Hall Street </w:t>
      </w:r>
      <w:r w:rsidRPr="00617A78">
        <w:rPr>
          <w:rFonts w:ascii="Times New Roman" w:hAnsi="Times New Roman" w:cs="Times New Roman"/>
        </w:rPr>
        <w:t xml:space="preserve">used to support the position that the doctrine of manifest disregard is dead </w:t>
      </w:r>
      <w:proofErr w:type="gramStart"/>
      <w:r w:rsidRPr="00617A78">
        <w:rPr>
          <w:rFonts w:ascii="Times New Roman" w:hAnsi="Times New Roman" w:cs="Times New Roman"/>
        </w:rPr>
        <w:t>post-</w:t>
      </w:r>
      <w:r w:rsidRPr="00617A78">
        <w:rPr>
          <w:rFonts w:ascii="Times New Roman" w:hAnsi="Times New Roman" w:cs="Times New Roman"/>
          <w:i/>
        </w:rPr>
        <w:t>Hall</w:t>
      </w:r>
      <w:proofErr w:type="gramEnd"/>
      <w:r w:rsidRPr="00617A78">
        <w:rPr>
          <w:rFonts w:ascii="Times New Roman" w:hAnsi="Times New Roman" w:cs="Times New Roman"/>
          <w:i/>
        </w:rPr>
        <w:t xml:space="preserve"> Street</w:t>
      </w:r>
      <w:r w:rsidRPr="00617A78">
        <w:rPr>
          <w:rFonts w:ascii="Times New Roman" w:hAnsi="Times New Roman" w:cs="Times New Roman"/>
        </w:rPr>
        <w:t xml:space="preserve"> </w:t>
      </w:r>
      <w:r w:rsidR="00191310" w:rsidRPr="00617A78">
        <w:rPr>
          <w:rFonts w:ascii="Times New Roman" w:hAnsi="Times New Roman" w:cs="Times New Roman"/>
        </w:rPr>
        <w:t xml:space="preserve">(at least as a non-statutory ground for </w:t>
      </w:r>
      <w:proofErr w:type="spellStart"/>
      <w:r w:rsidR="00191310" w:rsidRPr="00617A78">
        <w:rPr>
          <w:rFonts w:ascii="Times New Roman" w:hAnsi="Times New Roman" w:cs="Times New Roman"/>
        </w:rPr>
        <w:t>vacatur</w:t>
      </w:r>
      <w:proofErr w:type="spellEnd"/>
      <w:r w:rsidR="00191310" w:rsidRPr="00617A78">
        <w:rPr>
          <w:rFonts w:ascii="Times New Roman" w:hAnsi="Times New Roman" w:cs="Times New Roman"/>
        </w:rPr>
        <w:t xml:space="preserve">) </w:t>
      </w:r>
      <w:r w:rsidRPr="00617A78">
        <w:rPr>
          <w:rFonts w:ascii="Times New Roman" w:hAnsi="Times New Roman" w:cs="Times New Roman"/>
        </w:rPr>
        <w:t xml:space="preserve">is </w:t>
      </w:r>
      <w:proofErr w:type="spellStart"/>
      <w:r w:rsidR="00FB1F8A" w:rsidRPr="00617A78">
        <w:rPr>
          <w:rFonts w:ascii="Times New Roman" w:hAnsi="Times New Roman" w:cs="Times New Roman"/>
        </w:rPr>
        <w:t>conclusory</w:t>
      </w:r>
      <w:proofErr w:type="spellEnd"/>
      <w:r w:rsidR="00FB1F8A" w:rsidRPr="00617A78">
        <w:rPr>
          <w:rFonts w:ascii="Times New Roman" w:hAnsi="Times New Roman" w:cs="Times New Roman"/>
        </w:rPr>
        <w:t xml:space="preserve"> </w:t>
      </w:r>
      <w:r w:rsidR="009217EC" w:rsidRPr="00617A78">
        <w:rPr>
          <w:rFonts w:ascii="Times New Roman" w:hAnsi="Times New Roman" w:cs="Times New Roman"/>
        </w:rPr>
        <w:t>dicta</w:t>
      </w:r>
      <w:r w:rsidR="00FB1F8A" w:rsidRPr="00617A78">
        <w:rPr>
          <w:rStyle w:val="FootnoteReference"/>
          <w:rFonts w:ascii="Times New Roman" w:hAnsi="Times New Roman" w:cs="Times New Roman"/>
        </w:rPr>
        <w:footnoteReference w:id="125"/>
      </w:r>
      <w:r w:rsidR="009217EC" w:rsidRPr="00617A78">
        <w:rPr>
          <w:rFonts w:ascii="Times New Roman" w:hAnsi="Times New Roman" w:cs="Times New Roman"/>
        </w:rPr>
        <w:t xml:space="preserve"> with only persuasive value (though some argue that dictum can become binding</w:t>
      </w:r>
      <w:r w:rsidR="009217EC" w:rsidRPr="00617A78">
        <w:rPr>
          <w:rStyle w:val="FootnoteReference"/>
          <w:rFonts w:ascii="Times New Roman" w:hAnsi="Times New Roman" w:cs="Times New Roman"/>
        </w:rPr>
        <w:footnoteReference w:id="126"/>
      </w:r>
      <w:r w:rsidR="009217EC" w:rsidRPr="00617A78">
        <w:rPr>
          <w:rFonts w:ascii="Times New Roman" w:hAnsi="Times New Roman" w:cs="Times New Roman"/>
        </w:rPr>
        <w:t>)</w:t>
      </w:r>
      <w:r w:rsidR="00191310" w:rsidRPr="00617A78">
        <w:rPr>
          <w:rFonts w:ascii="Times New Roman" w:hAnsi="Times New Roman" w:cs="Times New Roman"/>
        </w:rPr>
        <w:t>.</w:t>
      </w:r>
      <w:r w:rsidR="002C6C12" w:rsidRPr="00617A78">
        <w:rPr>
          <w:rStyle w:val="FootnoteReference"/>
          <w:rFonts w:ascii="Times New Roman" w:hAnsi="Times New Roman" w:cs="Times New Roman"/>
        </w:rPr>
        <w:footnoteReference w:id="127"/>
      </w:r>
      <w:r w:rsidR="00191310" w:rsidRPr="00617A78">
        <w:rPr>
          <w:rFonts w:ascii="Times New Roman" w:hAnsi="Times New Roman" w:cs="Times New Roman"/>
        </w:rPr>
        <w:t xml:space="preserve"> In addition, </w:t>
      </w:r>
      <w:r w:rsidR="009217EC" w:rsidRPr="00617A78">
        <w:rPr>
          <w:rFonts w:ascii="Times New Roman" w:hAnsi="Times New Roman" w:cs="Times New Roman"/>
        </w:rPr>
        <w:t xml:space="preserve">the language </w:t>
      </w:r>
      <w:r w:rsidR="00595F3D" w:rsidRPr="00617A78">
        <w:rPr>
          <w:rFonts w:ascii="Times New Roman" w:hAnsi="Times New Roman" w:cs="Times New Roman"/>
        </w:rPr>
        <w:t xml:space="preserve">in </w:t>
      </w:r>
      <w:r w:rsidR="00595F3D" w:rsidRPr="00617A78">
        <w:rPr>
          <w:rFonts w:ascii="Times New Roman" w:hAnsi="Times New Roman" w:cs="Times New Roman"/>
          <w:i/>
        </w:rPr>
        <w:t xml:space="preserve">Hall Street </w:t>
      </w:r>
      <w:r w:rsidR="009217EC" w:rsidRPr="00617A78">
        <w:rPr>
          <w:rFonts w:ascii="Times New Roman" w:hAnsi="Times New Roman" w:cs="Times New Roman"/>
        </w:rPr>
        <w:t xml:space="preserve">used </w:t>
      </w:r>
      <w:r w:rsidR="00595F3D" w:rsidRPr="00617A78">
        <w:rPr>
          <w:rFonts w:ascii="Times New Roman" w:hAnsi="Times New Roman" w:cs="Times New Roman"/>
        </w:rPr>
        <w:t>to</w:t>
      </w:r>
      <w:r w:rsidR="009217EC" w:rsidRPr="00617A78">
        <w:rPr>
          <w:rFonts w:ascii="Times New Roman" w:hAnsi="Times New Roman" w:cs="Times New Roman"/>
        </w:rPr>
        <w:t xml:space="preserve"> support this position states</w:t>
      </w:r>
      <w:r w:rsidR="002C6C12" w:rsidRPr="00617A78">
        <w:rPr>
          <w:rFonts w:ascii="Times New Roman" w:hAnsi="Times New Roman" w:cs="Times New Roman"/>
        </w:rPr>
        <w:t xml:space="preserve"> that it is possible that the Court’s reference to manifest disregard in </w:t>
      </w:r>
      <w:proofErr w:type="spellStart"/>
      <w:r w:rsidR="002C6C12" w:rsidRPr="00617A78">
        <w:rPr>
          <w:rFonts w:ascii="Times New Roman" w:hAnsi="Times New Roman" w:cs="Times New Roman"/>
          <w:i/>
        </w:rPr>
        <w:t>Wilko</w:t>
      </w:r>
      <w:proofErr w:type="spellEnd"/>
      <w:r w:rsidR="002C6C12" w:rsidRPr="00617A78">
        <w:rPr>
          <w:rFonts w:ascii="Times New Roman" w:hAnsi="Times New Roman" w:cs="Times New Roman"/>
          <w:i/>
        </w:rPr>
        <w:t xml:space="preserve"> </w:t>
      </w:r>
      <w:r w:rsidR="002C6C12" w:rsidRPr="00617A78">
        <w:rPr>
          <w:rFonts w:ascii="Times New Roman" w:hAnsi="Times New Roman" w:cs="Times New Roman"/>
        </w:rPr>
        <w:t>indicate</w:t>
      </w:r>
      <w:r w:rsidR="00595F3D" w:rsidRPr="00617A78">
        <w:rPr>
          <w:rFonts w:ascii="Times New Roman" w:hAnsi="Times New Roman" w:cs="Times New Roman"/>
        </w:rPr>
        <w:t>d</w:t>
      </w:r>
      <w:r w:rsidR="002C6C12" w:rsidRPr="00617A78">
        <w:rPr>
          <w:rFonts w:ascii="Times New Roman" w:hAnsi="Times New Roman" w:cs="Times New Roman"/>
        </w:rPr>
        <w:t xml:space="preserve"> that “the term</w:t>
      </w:r>
      <w:r w:rsidR="00803E54">
        <w:rPr>
          <w:rFonts w:ascii="Times New Roman" w:hAnsi="Times New Roman" w:cs="Times New Roman"/>
        </w:rPr>
        <w:t xml:space="preserve"> </w:t>
      </w:r>
      <w:r w:rsidR="002C6C12" w:rsidRPr="00617A78">
        <w:rPr>
          <w:rFonts w:ascii="Times New Roman" w:hAnsi="Times New Roman" w:cs="Times New Roman"/>
        </w:rPr>
        <w:t>…</w:t>
      </w:r>
      <w:r w:rsidR="00803E54">
        <w:rPr>
          <w:rFonts w:ascii="Times New Roman" w:hAnsi="Times New Roman" w:cs="Times New Roman"/>
        </w:rPr>
        <w:t xml:space="preserve"> </w:t>
      </w:r>
      <w:r w:rsidR="002C6C12" w:rsidRPr="00617A78">
        <w:rPr>
          <w:rFonts w:ascii="Times New Roman" w:hAnsi="Times New Roman" w:cs="Times New Roman"/>
        </w:rPr>
        <w:t>was meant to name a new ground for review….”</w:t>
      </w:r>
      <w:r w:rsidR="002C6C12" w:rsidRPr="00617A78">
        <w:rPr>
          <w:rStyle w:val="FootnoteReference"/>
          <w:rFonts w:ascii="Times New Roman" w:hAnsi="Times New Roman" w:cs="Times New Roman"/>
        </w:rPr>
        <w:footnoteReference w:id="128"/>
      </w:r>
      <w:r w:rsidR="002C6C12" w:rsidRPr="00617A78">
        <w:rPr>
          <w:rFonts w:ascii="Times New Roman" w:hAnsi="Times New Roman" w:cs="Times New Roman"/>
        </w:rPr>
        <w:t xml:space="preserve"> This </w:t>
      </w:r>
      <w:r w:rsidR="009217EC" w:rsidRPr="00617A78">
        <w:rPr>
          <w:rFonts w:ascii="Times New Roman" w:hAnsi="Times New Roman" w:cs="Times New Roman"/>
        </w:rPr>
        <w:t>suggests</w:t>
      </w:r>
      <w:r w:rsidR="002C6C12" w:rsidRPr="00617A78">
        <w:rPr>
          <w:rFonts w:ascii="Times New Roman" w:hAnsi="Times New Roman" w:cs="Times New Roman"/>
        </w:rPr>
        <w:t xml:space="preserve"> that it is possible, though unlikely, that the doctrine can survive </w:t>
      </w:r>
      <w:r w:rsidR="002C6C12" w:rsidRPr="00617A78">
        <w:rPr>
          <w:rFonts w:ascii="Times New Roman" w:hAnsi="Times New Roman" w:cs="Times New Roman"/>
          <w:i/>
        </w:rPr>
        <w:t xml:space="preserve">Hall Street </w:t>
      </w:r>
      <w:r w:rsidR="002C6C12" w:rsidRPr="00617A78">
        <w:rPr>
          <w:rFonts w:ascii="Times New Roman" w:hAnsi="Times New Roman" w:cs="Times New Roman"/>
        </w:rPr>
        <w:t xml:space="preserve">as a common-law, non-statutory, ground for </w:t>
      </w:r>
      <w:proofErr w:type="spellStart"/>
      <w:r w:rsidR="002C6C12" w:rsidRPr="00617A78">
        <w:rPr>
          <w:rFonts w:ascii="Times New Roman" w:hAnsi="Times New Roman" w:cs="Times New Roman"/>
        </w:rPr>
        <w:t>vacatur</w:t>
      </w:r>
      <w:proofErr w:type="spellEnd"/>
      <w:r w:rsidR="002C6C12" w:rsidRPr="00617A78">
        <w:rPr>
          <w:rFonts w:ascii="Times New Roman" w:hAnsi="Times New Roman" w:cs="Times New Roman"/>
        </w:rPr>
        <w:t>.</w:t>
      </w:r>
      <w:r w:rsidRPr="00617A78">
        <w:rPr>
          <w:rFonts w:ascii="Times New Roman" w:hAnsi="Times New Roman" w:cs="Times New Roman"/>
        </w:rPr>
        <w:t xml:space="preserve"> </w:t>
      </w:r>
    </w:p>
    <w:p w14:paraId="41A80F04" w14:textId="77777777" w:rsidR="004E77D6" w:rsidRPr="00617A78" w:rsidRDefault="004E77D6" w:rsidP="004E77D6">
      <w:pPr>
        <w:widowControl w:val="0"/>
        <w:ind w:firstLine="360"/>
        <w:jc w:val="both"/>
        <w:rPr>
          <w:rFonts w:ascii="Times New Roman" w:hAnsi="Times New Roman" w:cs="Times New Roman"/>
        </w:rPr>
      </w:pPr>
    </w:p>
    <w:p w14:paraId="1A12D81A" w14:textId="262673AD" w:rsidR="00520741" w:rsidRDefault="00520741" w:rsidP="00F51D28">
      <w:pPr>
        <w:widowControl w:val="0"/>
        <w:ind w:firstLine="720"/>
        <w:jc w:val="both"/>
        <w:rPr>
          <w:rFonts w:ascii="Times New Roman" w:hAnsi="Times New Roman" w:cs="Times New Roman"/>
        </w:rPr>
      </w:pPr>
      <w:r w:rsidRPr="00617A78">
        <w:rPr>
          <w:rFonts w:ascii="Times New Roman" w:hAnsi="Times New Roman" w:cs="Times New Roman"/>
        </w:rPr>
        <w:t xml:space="preserve">Even if the language in </w:t>
      </w:r>
      <w:r w:rsidRPr="00617A78">
        <w:rPr>
          <w:rFonts w:ascii="Times New Roman" w:hAnsi="Times New Roman" w:cs="Times New Roman"/>
          <w:i/>
        </w:rPr>
        <w:t xml:space="preserve">Hall Street </w:t>
      </w:r>
      <w:r w:rsidRPr="00617A78">
        <w:rPr>
          <w:rFonts w:ascii="Times New Roman" w:hAnsi="Times New Roman" w:cs="Times New Roman"/>
        </w:rPr>
        <w:t xml:space="preserve">effectively eradicated manifest disregard as a common-law means for </w:t>
      </w:r>
      <w:proofErr w:type="spellStart"/>
      <w:r w:rsidRPr="00617A78">
        <w:rPr>
          <w:rFonts w:ascii="Times New Roman" w:hAnsi="Times New Roman" w:cs="Times New Roman"/>
        </w:rPr>
        <w:t>vacatur</w:t>
      </w:r>
      <w:proofErr w:type="spellEnd"/>
      <w:r w:rsidRPr="00617A78">
        <w:rPr>
          <w:rFonts w:ascii="Times New Roman" w:hAnsi="Times New Roman" w:cs="Times New Roman"/>
        </w:rPr>
        <w:t xml:space="preserve">, it did not preclude or abandon its use in entirety. As Gross asserts, “the strict constructionist majority [in </w:t>
      </w:r>
      <w:r w:rsidRPr="00617A78">
        <w:rPr>
          <w:rFonts w:ascii="Times New Roman" w:hAnsi="Times New Roman" w:cs="Times New Roman"/>
          <w:i/>
        </w:rPr>
        <w:t>Hall Street</w:t>
      </w:r>
      <w:r w:rsidRPr="00617A78">
        <w:rPr>
          <w:rFonts w:ascii="Times New Roman" w:hAnsi="Times New Roman" w:cs="Times New Roman"/>
        </w:rPr>
        <w:t xml:space="preserve">] merely interpreted the FAA to precluded parties seeking </w:t>
      </w:r>
      <w:proofErr w:type="spellStart"/>
      <w:r w:rsidRPr="00617A78">
        <w:rPr>
          <w:rFonts w:ascii="Times New Roman" w:hAnsi="Times New Roman" w:cs="Times New Roman"/>
        </w:rPr>
        <w:t>vacatur</w:t>
      </w:r>
      <w:proofErr w:type="spellEnd"/>
      <w:r w:rsidRPr="00617A78">
        <w:rPr>
          <w:rFonts w:ascii="Times New Roman" w:hAnsi="Times New Roman" w:cs="Times New Roman"/>
        </w:rPr>
        <w:t xml:space="preserve"> from asserting ground</w:t>
      </w:r>
      <w:r w:rsidR="00433D6F" w:rsidRPr="00617A78">
        <w:rPr>
          <w:rFonts w:ascii="Times New Roman" w:hAnsi="Times New Roman" w:cs="Times New Roman"/>
        </w:rPr>
        <w:t>s</w:t>
      </w:r>
      <w:r w:rsidRPr="00617A78">
        <w:rPr>
          <w:rFonts w:ascii="Times New Roman" w:hAnsi="Times New Roman" w:cs="Times New Roman"/>
        </w:rPr>
        <w:t xml:space="preserve"> other than those identified in FAA section 10, and suggested that lower courts could construe the bases provided by section 10 as including ‘manifest disregard.’”</w:t>
      </w:r>
      <w:r w:rsidRPr="00617A78">
        <w:rPr>
          <w:rStyle w:val="FootnoteReference"/>
          <w:rFonts w:ascii="Times New Roman" w:hAnsi="Times New Roman" w:cs="Times New Roman"/>
        </w:rPr>
        <w:footnoteReference w:id="129"/>
      </w:r>
      <w:r w:rsidRPr="00617A78">
        <w:rPr>
          <w:rFonts w:ascii="Times New Roman" w:hAnsi="Times New Roman" w:cs="Times New Roman"/>
        </w:rPr>
        <w:t xml:space="preserve"> </w:t>
      </w:r>
      <w:r w:rsidR="00433D6F" w:rsidRPr="00617A78">
        <w:rPr>
          <w:rFonts w:ascii="Times New Roman" w:hAnsi="Times New Roman" w:cs="Times New Roman"/>
        </w:rPr>
        <w:t xml:space="preserve">As Gross’ statement suggests, </w:t>
      </w:r>
      <w:r w:rsidRPr="00617A78">
        <w:rPr>
          <w:rFonts w:ascii="Times New Roman" w:hAnsi="Times New Roman" w:cs="Times New Roman"/>
        </w:rPr>
        <w:t>the Court did</w:t>
      </w:r>
      <w:r w:rsidR="00595F3D" w:rsidRPr="00617A78">
        <w:rPr>
          <w:rFonts w:ascii="Times New Roman" w:hAnsi="Times New Roman" w:cs="Times New Roman"/>
        </w:rPr>
        <w:t xml:space="preserve"> not</w:t>
      </w:r>
      <w:r w:rsidRPr="00617A78">
        <w:rPr>
          <w:rFonts w:ascii="Times New Roman" w:hAnsi="Times New Roman" w:cs="Times New Roman"/>
        </w:rPr>
        <w:t xml:space="preserve"> abandon the doctrine; rather, the Court delegated to the courts the task of determining how “manifest disregard” fits into one of the four categories set forth in FAA § 10.</w:t>
      </w:r>
      <w:r w:rsidRPr="00617A78">
        <w:rPr>
          <w:rStyle w:val="FootnoteReference"/>
          <w:rFonts w:ascii="Times New Roman" w:hAnsi="Times New Roman" w:cs="Times New Roman"/>
        </w:rPr>
        <w:footnoteReference w:id="130"/>
      </w:r>
      <w:r w:rsidRPr="00617A78">
        <w:rPr>
          <w:rFonts w:ascii="Times New Roman" w:hAnsi="Times New Roman" w:cs="Times New Roman"/>
        </w:rPr>
        <w:t xml:space="preserve"> In accordance with this understanding, parties are not prohibited from </w:t>
      </w:r>
      <w:r w:rsidRPr="00617A78">
        <w:rPr>
          <w:rFonts w:ascii="Times New Roman" w:hAnsi="Times New Roman" w:cs="Times New Roman"/>
        </w:rPr>
        <w:lastRenderedPageBreak/>
        <w:t>asserting manifest disregard; however, in order to successfully challenge an award, the parties will have to expressly articulate (in some circuits, but not all) their manifest disregard claim in a manner so as to incorporate the language and</w:t>
      </w:r>
      <w:r w:rsidR="00F22D5C" w:rsidRPr="00617A78">
        <w:rPr>
          <w:rFonts w:ascii="Times New Roman" w:hAnsi="Times New Roman" w:cs="Times New Roman"/>
        </w:rPr>
        <w:t>/or</w:t>
      </w:r>
      <w:r w:rsidRPr="00617A78">
        <w:rPr>
          <w:rFonts w:ascii="Times New Roman" w:hAnsi="Times New Roman" w:cs="Times New Roman"/>
        </w:rPr>
        <w:t xml:space="preserve"> grounds set forth in FAA § 10. </w:t>
      </w:r>
      <w:r w:rsidR="00FF2F31" w:rsidRPr="00617A78">
        <w:rPr>
          <w:rFonts w:ascii="Times New Roman" w:hAnsi="Times New Roman" w:cs="Times New Roman"/>
        </w:rPr>
        <w:t>Gross agrees with this position</w:t>
      </w:r>
      <w:r w:rsidRPr="00617A78">
        <w:rPr>
          <w:rFonts w:ascii="Times New Roman" w:hAnsi="Times New Roman" w:cs="Times New Roman"/>
        </w:rPr>
        <w:t>, and asserts that “parties can continue to challenge arbitration awards on the FAA ground that arbitrator</w:t>
      </w:r>
      <w:r w:rsidR="006B42CC">
        <w:rPr>
          <w:rFonts w:ascii="Times New Roman" w:hAnsi="Times New Roman" w:cs="Times New Roman"/>
        </w:rPr>
        <w:t>s</w:t>
      </w:r>
      <w:r w:rsidRPr="00617A78">
        <w:rPr>
          <w:rFonts w:ascii="Times New Roman" w:hAnsi="Times New Roman" w:cs="Times New Roman"/>
        </w:rPr>
        <w:t xml:space="preserve"> committed misconduct under [FAA § 10(a)(3)] by manifestly disregarding the law or exceeded the scope of its power under [FAA § 10(a)(4)] by manifestly disregarding the law.”</w:t>
      </w:r>
      <w:r w:rsidRPr="00617A78">
        <w:rPr>
          <w:rStyle w:val="FootnoteReference"/>
          <w:rFonts w:ascii="Times New Roman" w:hAnsi="Times New Roman" w:cs="Times New Roman"/>
        </w:rPr>
        <w:footnoteReference w:id="131"/>
      </w:r>
      <w:r w:rsidRPr="00617A78">
        <w:rPr>
          <w:rFonts w:ascii="Times New Roman" w:hAnsi="Times New Roman" w:cs="Times New Roman"/>
        </w:rPr>
        <w:t xml:space="preserve"> </w:t>
      </w:r>
    </w:p>
    <w:p w14:paraId="6754D3B5" w14:textId="77777777" w:rsidR="004E77D6" w:rsidRPr="00617A78" w:rsidRDefault="004E77D6" w:rsidP="004E77D6">
      <w:pPr>
        <w:widowControl w:val="0"/>
        <w:ind w:firstLine="360"/>
        <w:jc w:val="both"/>
        <w:rPr>
          <w:rFonts w:ascii="Times New Roman" w:hAnsi="Times New Roman" w:cs="Times New Roman"/>
        </w:rPr>
      </w:pPr>
    </w:p>
    <w:p w14:paraId="5FF914D1" w14:textId="01C323C6" w:rsidR="00520741" w:rsidRDefault="00520741" w:rsidP="00F51D28">
      <w:pPr>
        <w:widowControl w:val="0"/>
        <w:ind w:firstLine="720"/>
        <w:jc w:val="both"/>
        <w:rPr>
          <w:rFonts w:ascii="Times New Roman" w:hAnsi="Times New Roman" w:cs="Times New Roman"/>
        </w:rPr>
      </w:pPr>
      <w:r w:rsidRPr="00617A78">
        <w:rPr>
          <w:rFonts w:ascii="Times New Roman" w:hAnsi="Times New Roman" w:cs="Times New Roman"/>
        </w:rPr>
        <w:t>Furthe</w:t>
      </w:r>
      <w:r w:rsidR="00987247" w:rsidRPr="00617A78">
        <w:rPr>
          <w:rFonts w:ascii="Times New Roman" w:hAnsi="Times New Roman" w:cs="Times New Roman"/>
        </w:rPr>
        <w:t>rmore, as the preceding section</w:t>
      </w:r>
      <w:r w:rsidRPr="00617A78">
        <w:rPr>
          <w:rFonts w:ascii="Times New Roman" w:hAnsi="Times New Roman" w:cs="Times New Roman"/>
        </w:rPr>
        <w:t xml:space="preserve"> indicate</w:t>
      </w:r>
      <w:r w:rsidR="00987247" w:rsidRPr="00617A78">
        <w:rPr>
          <w:rFonts w:ascii="Times New Roman" w:hAnsi="Times New Roman" w:cs="Times New Roman"/>
        </w:rPr>
        <w:t>s</w:t>
      </w:r>
      <w:r w:rsidRPr="00617A78">
        <w:rPr>
          <w:rFonts w:ascii="Times New Roman" w:hAnsi="Times New Roman" w:cs="Times New Roman"/>
        </w:rPr>
        <w:t xml:space="preserve">, </w:t>
      </w:r>
      <w:r w:rsidR="00F22D5C" w:rsidRPr="00617A78">
        <w:rPr>
          <w:rFonts w:ascii="Times New Roman" w:hAnsi="Times New Roman" w:cs="Times New Roman"/>
        </w:rPr>
        <w:t>manifest</w:t>
      </w:r>
      <w:r w:rsidR="00987247" w:rsidRPr="00617A78">
        <w:rPr>
          <w:rFonts w:ascii="Times New Roman" w:hAnsi="Times New Roman" w:cs="Times New Roman"/>
        </w:rPr>
        <w:t xml:space="preserve"> </w:t>
      </w:r>
      <w:r w:rsidR="00F22D5C" w:rsidRPr="00617A78">
        <w:rPr>
          <w:rFonts w:ascii="Times New Roman" w:hAnsi="Times New Roman" w:cs="Times New Roman"/>
        </w:rPr>
        <w:t>disregard</w:t>
      </w:r>
      <w:r w:rsidRPr="00617A78">
        <w:rPr>
          <w:rFonts w:ascii="Times New Roman" w:hAnsi="Times New Roman" w:cs="Times New Roman"/>
        </w:rPr>
        <w:t xml:space="preserve"> has survived </w:t>
      </w:r>
      <w:proofErr w:type="gramStart"/>
      <w:r w:rsidRPr="00617A78">
        <w:rPr>
          <w:rFonts w:ascii="Times New Roman" w:hAnsi="Times New Roman" w:cs="Times New Roman"/>
        </w:rPr>
        <w:t>post-</w:t>
      </w:r>
      <w:r w:rsidRPr="00617A78">
        <w:rPr>
          <w:rFonts w:ascii="Times New Roman" w:hAnsi="Times New Roman" w:cs="Times New Roman"/>
          <w:i/>
        </w:rPr>
        <w:t>Hall</w:t>
      </w:r>
      <w:proofErr w:type="gramEnd"/>
      <w:r w:rsidRPr="00617A78">
        <w:rPr>
          <w:rFonts w:ascii="Times New Roman" w:hAnsi="Times New Roman" w:cs="Times New Roman"/>
          <w:i/>
        </w:rPr>
        <w:t xml:space="preserve"> Street</w:t>
      </w:r>
      <w:r w:rsidRPr="00617A78">
        <w:rPr>
          <w:rFonts w:ascii="Times New Roman" w:hAnsi="Times New Roman" w:cs="Times New Roman"/>
        </w:rPr>
        <w:t xml:space="preserve"> in many circuits. However, the doctrine no longer maintains the status, or original understandings, set forth by the Circuit Courts following </w:t>
      </w:r>
      <w:proofErr w:type="spellStart"/>
      <w:r w:rsidRPr="00617A78">
        <w:rPr>
          <w:rFonts w:ascii="Times New Roman" w:hAnsi="Times New Roman" w:cs="Times New Roman"/>
          <w:i/>
        </w:rPr>
        <w:t>Wilko</w:t>
      </w:r>
      <w:proofErr w:type="spellEnd"/>
      <w:r w:rsidRPr="00617A78">
        <w:rPr>
          <w:rFonts w:ascii="Times New Roman" w:hAnsi="Times New Roman" w:cs="Times New Roman"/>
        </w:rPr>
        <w:t xml:space="preserve">. That is, most circuits that recognize the doctrine despite the Court’s language in </w:t>
      </w:r>
      <w:r w:rsidRPr="00617A78">
        <w:rPr>
          <w:rFonts w:ascii="Times New Roman" w:hAnsi="Times New Roman" w:cs="Times New Roman"/>
          <w:i/>
        </w:rPr>
        <w:t>Hall Street</w:t>
      </w:r>
      <w:r w:rsidRPr="00617A78">
        <w:rPr>
          <w:rFonts w:ascii="Times New Roman" w:hAnsi="Times New Roman" w:cs="Times New Roman"/>
        </w:rPr>
        <w:t xml:space="preserve"> no longer see it as a common-law, non-statutory, ground for </w:t>
      </w:r>
      <w:proofErr w:type="spellStart"/>
      <w:r w:rsidRPr="00617A78">
        <w:rPr>
          <w:rFonts w:ascii="Times New Roman" w:hAnsi="Times New Roman" w:cs="Times New Roman"/>
        </w:rPr>
        <w:t>vacatur</w:t>
      </w:r>
      <w:proofErr w:type="spellEnd"/>
      <w:r w:rsidRPr="00617A78">
        <w:rPr>
          <w:rFonts w:ascii="Times New Roman" w:hAnsi="Times New Roman" w:cs="Times New Roman"/>
        </w:rPr>
        <w:t xml:space="preserve"> (though some circuits have not affirmatively decided this).</w:t>
      </w:r>
      <w:r w:rsidRPr="00617A78">
        <w:rPr>
          <w:rStyle w:val="FootnoteReference"/>
          <w:rFonts w:ascii="Times New Roman" w:hAnsi="Times New Roman" w:cs="Times New Roman"/>
        </w:rPr>
        <w:footnoteReference w:id="132"/>
      </w:r>
      <w:r w:rsidRPr="00617A78">
        <w:rPr>
          <w:rFonts w:ascii="Times New Roman" w:hAnsi="Times New Roman" w:cs="Times New Roman"/>
        </w:rPr>
        <w:t xml:space="preserve"> This indicates that the doctrine’s foundation has been weakened following </w:t>
      </w:r>
      <w:r w:rsidRPr="00617A78">
        <w:rPr>
          <w:rFonts w:ascii="Times New Roman" w:hAnsi="Times New Roman" w:cs="Times New Roman"/>
          <w:i/>
        </w:rPr>
        <w:t>Hall Street</w:t>
      </w:r>
      <w:r w:rsidRPr="00617A78">
        <w:rPr>
          <w:rFonts w:ascii="Times New Roman" w:hAnsi="Times New Roman" w:cs="Times New Roman"/>
        </w:rPr>
        <w:t>.</w:t>
      </w:r>
      <w:r w:rsidRPr="00617A78">
        <w:rPr>
          <w:rStyle w:val="FootnoteReference"/>
          <w:rFonts w:ascii="Times New Roman" w:hAnsi="Times New Roman" w:cs="Times New Roman"/>
        </w:rPr>
        <w:footnoteReference w:id="133"/>
      </w:r>
      <w:r w:rsidRPr="00617A78">
        <w:rPr>
          <w:rFonts w:ascii="Times New Roman" w:hAnsi="Times New Roman" w:cs="Times New Roman"/>
        </w:rPr>
        <w:t xml:space="preserve"> However, it is this author</w:t>
      </w:r>
      <w:r w:rsidR="00F22D5C" w:rsidRPr="00617A78">
        <w:rPr>
          <w:rFonts w:ascii="Times New Roman" w:hAnsi="Times New Roman" w:cs="Times New Roman"/>
        </w:rPr>
        <w:t>’</w:t>
      </w:r>
      <w:r w:rsidRPr="00617A78">
        <w:rPr>
          <w:rFonts w:ascii="Times New Roman" w:hAnsi="Times New Roman" w:cs="Times New Roman"/>
        </w:rPr>
        <w:t xml:space="preserve">s </w:t>
      </w:r>
      <w:r w:rsidR="00F22D5C" w:rsidRPr="00617A78">
        <w:rPr>
          <w:rFonts w:ascii="Times New Roman" w:hAnsi="Times New Roman" w:cs="Times New Roman"/>
        </w:rPr>
        <w:t>contention</w:t>
      </w:r>
      <w:r w:rsidRPr="00617A78">
        <w:rPr>
          <w:rFonts w:ascii="Times New Roman" w:hAnsi="Times New Roman" w:cs="Times New Roman"/>
        </w:rPr>
        <w:t xml:space="preserve"> that the doctrine </w:t>
      </w:r>
      <w:r w:rsidRPr="00617A78">
        <w:rPr>
          <w:rFonts w:ascii="Times New Roman" w:hAnsi="Times New Roman" w:cs="Times New Roman"/>
          <w:i/>
        </w:rPr>
        <w:t xml:space="preserve">is not </w:t>
      </w:r>
      <w:r w:rsidRPr="00617A78">
        <w:rPr>
          <w:rFonts w:ascii="Times New Roman" w:hAnsi="Times New Roman" w:cs="Times New Roman"/>
        </w:rPr>
        <w:t>dead. On the contrary, the doctrine remains a viable means for vacating arbitral awards, as evidence</w:t>
      </w:r>
      <w:r w:rsidR="005372D7">
        <w:rPr>
          <w:rFonts w:ascii="Times New Roman" w:hAnsi="Times New Roman" w:cs="Times New Roman"/>
        </w:rPr>
        <w:t>d</w:t>
      </w:r>
      <w:r w:rsidRPr="00617A78">
        <w:rPr>
          <w:rFonts w:ascii="Times New Roman" w:hAnsi="Times New Roman" w:cs="Times New Roman"/>
        </w:rPr>
        <w:t xml:space="preserve"> by the various circuits recognizing its continuing viability and applicability.</w:t>
      </w:r>
      <w:r w:rsidRPr="00617A78">
        <w:rPr>
          <w:rStyle w:val="FootnoteReference"/>
          <w:rFonts w:ascii="Times New Roman" w:hAnsi="Times New Roman" w:cs="Times New Roman"/>
        </w:rPr>
        <w:footnoteReference w:id="134"/>
      </w:r>
      <w:r w:rsidRPr="00617A78">
        <w:rPr>
          <w:rFonts w:ascii="Times New Roman" w:hAnsi="Times New Roman" w:cs="Times New Roman"/>
        </w:rPr>
        <w:t xml:space="preserve"> This is not to say that practitioners attempting to use the doctrine, even in the circuits that recognize it, will </w:t>
      </w:r>
      <w:r w:rsidR="00987247" w:rsidRPr="00617A78">
        <w:rPr>
          <w:rFonts w:ascii="Times New Roman" w:hAnsi="Times New Roman" w:cs="Times New Roman"/>
        </w:rPr>
        <w:t xml:space="preserve">be </w:t>
      </w:r>
      <w:r w:rsidRPr="00617A78">
        <w:rPr>
          <w:rFonts w:ascii="Times New Roman" w:hAnsi="Times New Roman" w:cs="Times New Roman"/>
        </w:rPr>
        <w:t>successful. Establishing the elements of manifest disregard still remain</w:t>
      </w:r>
      <w:r w:rsidR="00595F3D" w:rsidRPr="00617A78">
        <w:rPr>
          <w:rFonts w:ascii="Times New Roman" w:hAnsi="Times New Roman" w:cs="Times New Roman"/>
        </w:rPr>
        <w:t>s</w:t>
      </w:r>
      <w:r w:rsidRPr="00617A78">
        <w:rPr>
          <w:rFonts w:ascii="Times New Roman" w:hAnsi="Times New Roman" w:cs="Times New Roman"/>
        </w:rPr>
        <w:t xml:space="preserve"> a difficult task, regardless of whether </w:t>
      </w:r>
      <w:r w:rsidR="00F22D5C" w:rsidRPr="00617A78">
        <w:rPr>
          <w:rFonts w:ascii="Times New Roman" w:hAnsi="Times New Roman" w:cs="Times New Roman"/>
        </w:rPr>
        <w:t>or</w:t>
      </w:r>
      <w:r w:rsidRPr="00617A78">
        <w:rPr>
          <w:rFonts w:ascii="Times New Roman" w:hAnsi="Times New Roman" w:cs="Times New Roman"/>
        </w:rPr>
        <w:t xml:space="preserve"> not the doctrine is seen as non-statutory or a judicial gloss/short</w:t>
      </w:r>
      <w:r w:rsidR="00F22D5C" w:rsidRPr="00617A78">
        <w:rPr>
          <w:rFonts w:ascii="Times New Roman" w:hAnsi="Times New Roman" w:cs="Times New Roman"/>
        </w:rPr>
        <w:t>hand. Still, the Circuit Courts</w:t>
      </w:r>
      <w:r w:rsidRPr="00617A78">
        <w:rPr>
          <w:rFonts w:ascii="Times New Roman" w:hAnsi="Times New Roman" w:cs="Times New Roman"/>
        </w:rPr>
        <w:t xml:space="preserve"> retention and acceptance of the doctrine, though modified, signals that most circuits view manifest disregard as a valid and viable means fo</w:t>
      </w:r>
      <w:r w:rsidR="00BB7C2C">
        <w:rPr>
          <w:rFonts w:ascii="Times New Roman" w:hAnsi="Times New Roman" w:cs="Times New Roman"/>
        </w:rPr>
        <w:t>r challenging an arbitral award</w:t>
      </w:r>
      <w:r w:rsidRPr="00617A78">
        <w:rPr>
          <w:rFonts w:ascii="Times New Roman" w:hAnsi="Times New Roman" w:cs="Times New Roman"/>
        </w:rPr>
        <w:t>, and should the “right” case</w:t>
      </w:r>
      <w:r w:rsidR="00B72A31">
        <w:rPr>
          <w:rFonts w:ascii="Times New Roman" w:hAnsi="Times New Roman" w:cs="Times New Roman"/>
        </w:rPr>
        <w:t xml:space="preserve"> present itself, these c</w:t>
      </w:r>
      <w:r w:rsidR="00F22D5C" w:rsidRPr="00617A78">
        <w:rPr>
          <w:rFonts w:ascii="Times New Roman" w:hAnsi="Times New Roman" w:cs="Times New Roman"/>
        </w:rPr>
        <w:t>ircuits</w:t>
      </w:r>
      <w:r w:rsidRPr="00617A78">
        <w:rPr>
          <w:rFonts w:ascii="Times New Roman" w:hAnsi="Times New Roman" w:cs="Times New Roman"/>
        </w:rPr>
        <w:t xml:space="preserve"> will vacate the award. </w:t>
      </w:r>
    </w:p>
    <w:p w14:paraId="3C4ABCFE" w14:textId="77777777" w:rsidR="004E77D6" w:rsidRPr="00617A78" w:rsidRDefault="004E77D6" w:rsidP="004E77D6">
      <w:pPr>
        <w:widowControl w:val="0"/>
        <w:ind w:firstLine="360"/>
        <w:jc w:val="both"/>
        <w:rPr>
          <w:rFonts w:ascii="Times New Roman" w:hAnsi="Times New Roman" w:cs="Times New Roman"/>
        </w:rPr>
      </w:pPr>
    </w:p>
    <w:p w14:paraId="07C98043" w14:textId="5E10F1C7" w:rsidR="00D91179" w:rsidRDefault="00D91179" w:rsidP="00F51D28">
      <w:pPr>
        <w:widowControl w:val="0"/>
        <w:ind w:firstLine="720"/>
        <w:jc w:val="both"/>
        <w:rPr>
          <w:rFonts w:ascii="Times New Roman" w:hAnsi="Times New Roman" w:cs="Times New Roman"/>
        </w:rPr>
      </w:pPr>
      <w:r w:rsidRPr="00617A78">
        <w:rPr>
          <w:rFonts w:ascii="Times New Roman" w:hAnsi="Times New Roman" w:cs="Times New Roman"/>
        </w:rPr>
        <w:t xml:space="preserve">As the preceding </w:t>
      </w:r>
      <w:r w:rsidR="007569B8" w:rsidRPr="00617A78">
        <w:rPr>
          <w:rFonts w:ascii="Times New Roman" w:hAnsi="Times New Roman" w:cs="Times New Roman"/>
        </w:rPr>
        <w:t>illustrates</w:t>
      </w:r>
      <w:r w:rsidRPr="00617A78">
        <w:rPr>
          <w:rFonts w:ascii="Times New Roman" w:hAnsi="Times New Roman" w:cs="Times New Roman"/>
        </w:rPr>
        <w:t xml:space="preserve">, </w:t>
      </w:r>
      <w:r w:rsidR="00254BA0" w:rsidRPr="00617A78">
        <w:rPr>
          <w:rFonts w:ascii="Times New Roman" w:hAnsi="Times New Roman" w:cs="Times New Roman"/>
        </w:rPr>
        <w:t xml:space="preserve">the </w:t>
      </w:r>
      <w:r w:rsidR="007569B8" w:rsidRPr="00617A78">
        <w:rPr>
          <w:rFonts w:ascii="Times New Roman" w:hAnsi="Times New Roman" w:cs="Times New Roman"/>
        </w:rPr>
        <w:t xml:space="preserve">doctrine of </w:t>
      </w:r>
      <w:r w:rsidRPr="00617A78">
        <w:rPr>
          <w:rFonts w:ascii="Times New Roman" w:hAnsi="Times New Roman" w:cs="Times New Roman"/>
        </w:rPr>
        <w:t>manifest di</w:t>
      </w:r>
      <w:r w:rsidR="007569B8" w:rsidRPr="00617A78">
        <w:rPr>
          <w:rFonts w:ascii="Times New Roman" w:hAnsi="Times New Roman" w:cs="Times New Roman"/>
        </w:rPr>
        <w:t xml:space="preserve">sregard is not dead. </w:t>
      </w:r>
      <w:r w:rsidR="007569B8" w:rsidRPr="00617A78">
        <w:rPr>
          <w:rFonts w:ascii="Times New Roman" w:hAnsi="Times New Roman" w:cs="Times New Roman"/>
          <w:i/>
        </w:rPr>
        <w:t>Hall Street</w:t>
      </w:r>
      <w:r w:rsidR="00254BA0" w:rsidRPr="00617A78">
        <w:rPr>
          <w:rFonts w:ascii="Times New Roman" w:hAnsi="Times New Roman" w:cs="Times New Roman"/>
          <w:i/>
        </w:rPr>
        <w:t xml:space="preserve"> </w:t>
      </w:r>
      <w:r w:rsidR="00254BA0" w:rsidRPr="00617A78">
        <w:rPr>
          <w:rFonts w:ascii="Times New Roman" w:hAnsi="Times New Roman" w:cs="Times New Roman"/>
        </w:rPr>
        <w:t>may have</w:t>
      </w:r>
      <w:r w:rsidR="007569B8" w:rsidRPr="00617A78">
        <w:rPr>
          <w:rFonts w:ascii="Times New Roman" w:hAnsi="Times New Roman" w:cs="Times New Roman"/>
          <w:i/>
        </w:rPr>
        <w:t xml:space="preserve"> </w:t>
      </w:r>
      <w:r w:rsidR="007569B8" w:rsidRPr="00617A78">
        <w:rPr>
          <w:rFonts w:ascii="Times New Roman" w:hAnsi="Times New Roman" w:cs="Times New Roman"/>
        </w:rPr>
        <w:t xml:space="preserve">caused </w:t>
      </w:r>
      <w:r w:rsidR="00254BA0" w:rsidRPr="00617A78">
        <w:rPr>
          <w:rFonts w:ascii="Times New Roman" w:hAnsi="Times New Roman" w:cs="Times New Roman"/>
        </w:rPr>
        <w:t>a reformulation of the doctrine’s understandings regarding the authority from which the doctrine derives support—</w:t>
      </w:r>
      <w:r w:rsidR="00254BA0" w:rsidRPr="00617A78">
        <w:rPr>
          <w:rFonts w:ascii="Times New Roman" w:hAnsi="Times New Roman" w:cs="Times New Roman"/>
          <w:i/>
        </w:rPr>
        <w:t>i.e.,</w:t>
      </w:r>
      <w:r w:rsidR="00994F24" w:rsidRPr="00617A78">
        <w:rPr>
          <w:rFonts w:ascii="Times New Roman" w:hAnsi="Times New Roman" w:cs="Times New Roman"/>
          <w:i/>
        </w:rPr>
        <w:t xml:space="preserve"> </w:t>
      </w:r>
      <w:r w:rsidR="00994F24" w:rsidRPr="00617A78">
        <w:rPr>
          <w:rFonts w:ascii="Times New Roman" w:hAnsi="Times New Roman" w:cs="Times New Roman"/>
        </w:rPr>
        <w:t xml:space="preserve">whether the doctrine should be conceptualized as a separate </w:t>
      </w:r>
      <w:r w:rsidR="00994F24" w:rsidRPr="00617A78">
        <w:rPr>
          <w:rFonts w:ascii="Times New Roman" w:hAnsi="Times New Roman" w:cs="Times New Roman"/>
        </w:rPr>
        <w:lastRenderedPageBreak/>
        <w:t xml:space="preserve">non-statutory ground for </w:t>
      </w:r>
      <w:proofErr w:type="spellStart"/>
      <w:r w:rsidR="00994F24" w:rsidRPr="00617A78">
        <w:rPr>
          <w:rFonts w:ascii="Times New Roman" w:hAnsi="Times New Roman" w:cs="Times New Roman"/>
        </w:rPr>
        <w:t>vacatur</w:t>
      </w:r>
      <w:proofErr w:type="spellEnd"/>
      <w:r w:rsidR="00994F24" w:rsidRPr="00617A78">
        <w:rPr>
          <w:rFonts w:ascii="Times New Roman" w:hAnsi="Times New Roman" w:cs="Times New Roman"/>
        </w:rPr>
        <w:t xml:space="preserve">, or as a judicial gloss/shorthand for FAA § 10; however, </w:t>
      </w:r>
      <w:r w:rsidR="00994F24" w:rsidRPr="00617A78">
        <w:rPr>
          <w:rFonts w:ascii="Times New Roman" w:hAnsi="Times New Roman" w:cs="Times New Roman"/>
          <w:i/>
        </w:rPr>
        <w:t xml:space="preserve">Hall Street </w:t>
      </w:r>
      <w:r w:rsidR="00994F24" w:rsidRPr="00617A78">
        <w:rPr>
          <w:rFonts w:ascii="Times New Roman" w:hAnsi="Times New Roman" w:cs="Times New Roman"/>
        </w:rPr>
        <w:t xml:space="preserve">did not completely abrogate the doctrine, for the reasons discussed above. Therefore, it is this author contention that the doctrine survived </w:t>
      </w:r>
      <w:r w:rsidR="00994F24" w:rsidRPr="00617A78">
        <w:rPr>
          <w:rFonts w:ascii="Times New Roman" w:hAnsi="Times New Roman" w:cs="Times New Roman"/>
          <w:i/>
        </w:rPr>
        <w:t>Hall Street</w:t>
      </w:r>
      <w:r w:rsidR="00994F24" w:rsidRPr="00617A78">
        <w:rPr>
          <w:rFonts w:ascii="Times New Roman" w:hAnsi="Times New Roman" w:cs="Times New Roman"/>
        </w:rPr>
        <w:t xml:space="preserve">, and remains a viable means for vacating arbitral awards in many circuits. </w:t>
      </w:r>
    </w:p>
    <w:p w14:paraId="1A4127E1" w14:textId="77777777" w:rsidR="004E77D6" w:rsidRPr="00617A78" w:rsidRDefault="004E77D6" w:rsidP="004E77D6">
      <w:pPr>
        <w:widowControl w:val="0"/>
        <w:ind w:firstLine="360"/>
        <w:jc w:val="both"/>
        <w:rPr>
          <w:rFonts w:ascii="Times New Roman" w:hAnsi="Times New Roman" w:cs="Times New Roman"/>
        </w:rPr>
      </w:pPr>
    </w:p>
    <w:p w14:paraId="4D138270" w14:textId="50A3A0C7" w:rsidR="00F544B1" w:rsidRPr="00617A78" w:rsidRDefault="00F544B1" w:rsidP="004E77D6">
      <w:pPr>
        <w:pStyle w:val="ListParagraph"/>
        <w:widowControl w:val="0"/>
        <w:numPr>
          <w:ilvl w:val="0"/>
          <w:numId w:val="1"/>
        </w:numPr>
        <w:rPr>
          <w:rFonts w:ascii="Times New Roman" w:hAnsi="Times New Roman" w:cs="Times New Roman"/>
          <w:b/>
          <w:u w:val="single"/>
        </w:rPr>
      </w:pPr>
      <w:r w:rsidRPr="00617A78">
        <w:rPr>
          <w:rFonts w:ascii="Times New Roman" w:hAnsi="Times New Roman" w:cs="Times New Roman"/>
          <w:b/>
          <w:u w:val="single"/>
        </w:rPr>
        <w:t xml:space="preserve">Suggestion: Supreme Court Review </w:t>
      </w:r>
      <w:r w:rsidR="004E77D6">
        <w:rPr>
          <w:rFonts w:ascii="Times New Roman" w:hAnsi="Times New Roman" w:cs="Times New Roman"/>
          <w:b/>
          <w:u w:val="single"/>
        </w:rPr>
        <w:br/>
      </w:r>
    </w:p>
    <w:p w14:paraId="0081F370" w14:textId="3640240B" w:rsidR="0090339A" w:rsidRDefault="00520741" w:rsidP="004E77D6">
      <w:pPr>
        <w:widowControl w:val="0"/>
        <w:jc w:val="both"/>
        <w:rPr>
          <w:rFonts w:ascii="Times New Roman" w:hAnsi="Times New Roman" w:cs="Times New Roman"/>
        </w:rPr>
      </w:pPr>
      <w:r w:rsidRPr="00617A78">
        <w:rPr>
          <w:rFonts w:ascii="Times New Roman" w:hAnsi="Times New Roman" w:cs="Times New Roman"/>
        </w:rPr>
        <w:tab/>
      </w:r>
      <w:r w:rsidR="00F22D5C" w:rsidRPr="00617A78">
        <w:rPr>
          <w:rFonts w:ascii="Times New Roman" w:hAnsi="Times New Roman" w:cs="Times New Roman"/>
        </w:rPr>
        <w:t>I</w:t>
      </w:r>
      <w:r w:rsidRPr="00617A78">
        <w:rPr>
          <w:rFonts w:ascii="Times New Roman" w:hAnsi="Times New Roman" w:cs="Times New Roman"/>
        </w:rPr>
        <w:t xml:space="preserve">n order to </w:t>
      </w:r>
      <w:r w:rsidR="009217EC" w:rsidRPr="00617A78">
        <w:rPr>
          <w:rFonts w:ascii="Times New Roman" w:hAnsi="Times New Roman" w:cs="Times New Roman"/>
        </w:rPr>
        <w:t xml:space="preserve">set forth and/or </w:t>
      </w:r>
      <w:r w:rsidRPr="00617A78">
        <w:rPr>
          <w:rFonts w:ascii="Times New Roman" w:hAnsi="Times New Roman" w:cs="Times New Roman"/>
        </w:rPr>
        <w:t xml:space="preserve">clarify the “correct” interpretation of </w:t>
      </w:r>
      <w:r w:rsidRPr="00617A78">
        <w:rPr>
          <w:rFonts w:ascii="Times New Roman" w:hAnsi="Times New Roman" w:cs="Times New Roman"/>
          <w:i/>
        </w:rPr>
        <w:t>Hall Street</w:t>
      </w:r>
      <w:r w:rsidRPr="00617A78">
        <w:rPr>
          <w:rFonts w:ascii="Times New Roman" w:hAnsi="Times New Roman" w:cs="Times New Roman"/>
        </w:rPr>
        <w:t xml:space="preserve"> and</w:t>
      </w:r>
      <w:r w:rsidRPr="00617A78">
        <w:rPr>
          <w:rFonts w:ascii="Times New Roman" w:hAnsi="Times New Roman" w:cs="Times New Roman"/>
          <w:i/>
        </w:rPr>
        <w:t xml:space="preserve"> </w:t>
      </w:r>
      <w:r w:rsidRPr="00617A78">
        <w:rPr>
          <w:rFonts w:ascii="Times New Roman" w:hAnsi="Times New Roman" w:cs="Times New Roman"/>
        </w:rPr>
        <w:t>resolve the split among the Circuit Courts, the Supreme Court ought to lay down an explicit holding accepting or rejecting the doctrine and the prevailing Circuit Court interpretations. Absent such an explicit ruling, lower courts are left to divine their own meanings. The likelihood this will occur, however, is debatable. This is because the Supreme Court has been provided multiple opportunities to decide how “manifest disregard” ought to be interpreted and applied, but has declined to specifically address the issue.</w:t>
      </w:r>
      <w:r w:rsidRPr="00617A78">
        <w:rPr>
          <w:rStyle w:val="FootnoteReference"/>
          <w:rFonts w:ascii="Times New Roman" w:hAnsi="Times New Roman" w:cs="Times New Roman"/>
        </w:rPr>
        <w:footnoteReference w:id="135"/>
      </w:r>
      <w:r w:rsidRPr="00617A78">
        <w:rPr>
          <w:rFonts w:ascii="Times New Roman" w:hAnsi="Times New Roman" w:cs="Times New Roman"/>
        </w:rPr>
        <w:t xml:space="preserve">  Thus, the possibility that the Court will lay down an explicit holding that resolve</w:t>
      </w:r>
      <w:r w:rsidR="00B72A31">
        <w:rPr>
          <w:rFonts w:ascii="Times New Roman" w:hAnsi="Times New Roman" w:cs="Times New Roman"/>
        </w:rPr>
        <w:t>s</w:t>
      </w:r>
      <w:r w:rsidRPr="00617A78">
        <w:rPr>
          <w:rFonts w:ascii="Times New Roman" w:hAnsi="Times New Roman" w:cs="Times New Roman"/>
        </w:rPr>
        <w:t xml:space="preserve"> the split among Circuit Courts is uncertain, and probably unlikely given the Court’s inclination to avoid the issue. Nevertheless, it does appear that the doctrine of manifest disregard did survive </w:t>
      </w:r>
      <w:r w:rsidRPr="00617A78">
        <w:rPr>
          <w:rFonts w:ascii="Times New Roman" w:hAnsi="Times New Roman" w:cs="Times New Roman"/>
          <w:i/>
        </w:rPr>
        <w:t>Hall Street</w:t>
      </w:r>
      <w:r w:rsidRPr="00617A78">
        <w:rPr>
          <w:rFonts w:ascii="Times New Roman" w:hAnsi="Times New Roman" w:cs="Times New Roman"/>
        </w:rPr>
        <w:t>, though modified, and it is this author’s contention that the doctrine will remain viable in the circuits that have accepted it, unless and until the Supreme Court rules otherwise.</w:t>
      </w:r>
    </w:p>
    <w:p w14:paraId="1EDA3979" w14:textId="77777777" w:rsidR="004E77D6" w:rsidRPr="00617A78" w:rsidRDefault="004E77D6" w:rsidP="004E77D6">
      <w:pPr>
        <w:widowControl w:val="0"/>
        <w:jc w:val="both"/>
        <w:rPr>
          <w:rFonts w:ascii="Times New Roman" w:hAnsi="Times New Roman" w:cs="Times New Roman"/>
        </w:rPr>
      </w:pPr>
    </w:p>
    <w:p w14:paraId="286F0E4C" w14:textId="34DB96F2" w:rsidR="007C587F" w:rsidRDefault="007C587F" w:rsidP="004E77D6">
      <w:pPr>
        <w:pStyle w:val="ListParagraph"/>
        <w:widowControl w:val="0"/>
        <w:numPr>
          <w:ilvl w:val="0"/>
          <w:numId w:val="1"/>
        </w:numPr>
        <w:rPr>
          <w:rFonts w:ascii="Times New Roman" w:hAnsi="Times New Roman" w:cs="Times New Roman"/>
          <w:b/>
          <w:u w:val="single"/>
        </w:rPr>
      </w:pPr>
      <w:r w:rsidRPr="00617A78">
        <w:rPr>
          <w:rFonts w:ascii="Times New Roman" w:hAnsi="Times New Roman" w:cs="Times New Roman"/>
          <w:b/>
          <w:u w:val="single"/>
        </w:rPr>
        <w:t>Conclusion</w:t>
      </w:r>
    </w:p>
    <w:p w14:paraId="673AA066" w14:textId="77777777" w:rsidR="004E77D6" w:rsidRPr="00617A78" w:rsidRDefault="004E77D6" w:rsidP="004E77D6">
      <w:pPr>
        <w:pStyle w:val="ListParagraph"/>
        <w:widowControl w:val="0"/>
        <w:rPr>
          <w:rFonts w:ascii="Times New Roman" w:hAnsi="Times New Roman" w:cs="Times New Roman"/>
          <w:b/>
          <w:u w:val="single"/>
        </w:rPr>
      </w:pPr>
    </w:p>
    <w:p w14:paraId="4784339B" w14:textId="64584BA2" w:rsidR="006234B2" w:rsidRPr="00617A78" w:rsidRDefault="007A0183" w:rsidP="00F51D28">
      <w:pPr>
        <w:widowControl w:val="0"/>
        <w:ind w:firstLine="720"/>
        <w:jc w:val="both"/>
        <w:rPr>
          <w:rFonts w:ascii="Times New Roman" w:hAnsi="Times New Roman" w:cs="Times New Roman"/>
        </w:rPr>
      </w:pPr>
      <w:r w:rsidRPr="00617A78">
        <w:rPr>
          <w:rFonts w:ascii="Times New Roman" w:hAnsi="Times New Roman" w:cs="Times New Roman"/>
        </w:rPr>
        <w:t>T</w:t>
      </w:r>
      <w:r w:rsidR="00F544B1" w:rsidRPr="00617A78">
        <w:rPr>
          <w:rFonts w:ascii="Times New Roman" w:hAnsi="Times New Roman" w:cs="Times New Roman"/>
        </w:rPr>
        <w:t xml:space="preserve">his paper has examined </w:t>
      </w:r>
      <w:r w:rsidRPr="00617A78">
        <w:rPr>
          <w:rFonts w:ascii="Times New Roman" w:hAnsi="Times New Roman" w:cs="Times New Roman"/>
        </w:rPr>
        <w:t xml:space="preserve">the origin of the doctrine of manifest disregard, the standard’s development following the Supreme Court’s decisions in </w:t>
      </w:r>
      <w:proofErr w:type="spellStart"/>
      <w:r w:rsidRPr="00617A78">
        <w:rPr>
          <w:rFonts w:ascii="Times New Roman" w:hAnsi="Times New Roman" w:cs="Times New Roman"/>
          <w:i/>
        </w:rPr>
        <w:t>Wilko</w:t>
      </w:r>
      <w:proofErr w:type="spellEnd"/>
      <w:r w:rsidRPr="00617A78">
        <w:rPr>
          <w:rFonts w:ascii="Times New Roman" w:hAnsi="Times New Roman" w:cs="Times New Roman"/>
        </w:rPr>
        <w:t xml:space="preserve"> and </w:t>
      </w:r>
      <w:r w:rsidRPr="00617A78">
        <w:rPr>
          <w:rFonts w:ascii="Times New Roman" w:hAnsi="Times New Roman" w:cs="Times New Roman"/>
          <w:i/>
        </w:rPr>
        <w:t>Hall Street</w:t>
      </w:r>
      <w:r w:rsidRPr="00617A78">
        <w:rPr>
          <w:rFonts w:ascii="Times New Roman" w:hAnsi="Times New Roman" w:cs="Times New Roman"/>
        </w:rPr>
        <w:t xml:space="preserve">, and its future viability as a means for vacating arbitration awards. It was found that </w:t>
      </w:r>
      <w:r w:rsidR="00595F3D" w:rsidRPr="00617A78">
        <w:rPr>
          <w:rFonts w:ascii="Times New Roman" w:hAnsi="Times New Roman" w:cs="Times New Roman"/>
        </w:rPr>
        <w:t>most, if not all</w:t>
      </w:r>
      <w:r w:rsidR="00B72A31">
        <w:rPr>
          <w:rFonts w:ascii="Times New Roman" w:hAnsi="Times New Roman" w:cs="Times New Roman"/>
        </w:rPr>
        <w:t>, Circuit</w:t>
      </w:r>
      <w:r w:rsidR="001F1AC6">
        <w:rPr>
          <w:rFonts w:ascii="Times New Roman" w:hAnsi="Times New Roman" w:cs="Times New Roman"/>
        </w:rPr>
        <w:t xml:space="preserve"> Courts</w:t>
      </w:r>
      <w:r w:rsidRPr="00617A78">
        <w:rPr>
          <w:rFonts w:ascii="Times New Roman" w:hAnsi="Times New Roman" w:cs="Times New Roman"/>
        </w:rPr>
        <w:t xml:space="preserve"> following </w:t>
      </w:r>
      <w:proofErr w:type="spellStart"/>
      <w:r w:rsidRPr="00617A78">
        <w:rPr>
          <w:rFonts w:ascii="Times New Roman" w:hAnsi="Times New Roman" w:cs="Times New Roman"/>
          <w:i/>
        </w:rPr>
        <w:t>Wilko</w:t>
      </w:r>
      <w:proofErr w:type="spellEnd"/>
      <w:r w:rsidRPr="00617A78">
        <w:rPr>
          <w:rFonts w:ascii="Times New Roman" w:hAnsi="Times New Roman" w:cs="Times New Roman"/>
        </w:rPr>
        <w:t xml:space="preserve"> accepted manifest disregard as a common-law, non-statutory, means for vacating arbitral awards, though some circuits maintained differing positions regarding the correct articulation and application of the doctrine. Following this, it was determine that the </w:t>
      </w:r>
      <w:r w:rsidRPr="00617A78">
        <w:rPr>
          <w:rFonts w:ascii="Times New Roman" w:hAnsi="Times New Roman" w:cs="Times New Roman"/>
        </w:rPr>
        <w:lastRenderedPageBreak/>
        <w:t xml:space="preserve">Court’s decision in </w:t>
      </w:r>
      <w:r w:rsidRPr="00617A78">
        <w:rPr>
          <w:rFonts w:ascii="Times New Roman" w:hAnsi="Times New Roman" w:cs="Times New Roman"/>
          <w:i/>
        </w:rPr>
        <w:t>Hall Street</w:t>
      </w:r>
      <w:r w:rsidR="00F15165" w:rsidRPr="00617A78">
        <w:rPr>
          <w:rFonts w:ascii="Times New Roman" w:hAnsi="Times New Roman" w:cs="Times New Roman"/>
        </w:rPr>
        <w:t xml:space="preserve"> caused (almost all) the Circuit Courts to alter their understanding of manifest disregard. However, after surveying decisions in eight different Circuit Courts, it was found that only three circuits (of the eight</w:t>
      </w:r>
      <w:r w:rsidR="003C04DE" w:rsidRPr="00617A78">
        <w:rPr>
          <w:rFonts w:ascii="Times New Roman" w:hAnsi="Times New Roman" w:cs="Times New Roman"/>
        </w:rPr>
        <w:t xml:space="preserve"> surveyed</w:t>
      </w:r>
      <w:r w:rsidR="00F15165" w:rsidRPr="00617A78">
        <w:rPr>
          <w:rFonts w:ascii="Times New Roman" w:hAnsi="Times New Roman" w:cs="Times New Roman"/>
        </w:rPr>
        <w:t xml:space="preserve">) have </w:t>
      </w:r>
      <w:r w:rsidR="003C04DE" w:rsidRPr="00617A78">
        <w:rPr>
          <w:rFonts w:ascii="Times New Roman" w:hAnsi="Times New Roman" w:cs="Times New Roman"/>
        </w:rPr>
        <w:t xml:space="preserve">definitively </w:t>
      </w:r>
      <w:r w:rsidR="00F15165" w:rsidRPr="00617A78">
        <w:rPr>
          <w:rFonts w:ascii="Times New Roman" w:hAnsi="Times New Roman" w:cs="Times New Roman"/>
        </w:rPr>
        <w:t xml:space="preserve">taken the position that </w:t>
      </w:r>
      <w:r w:rsidR="00F15165" w:rsidRPr="00617A78">
        <w:rPr>
          <w:rFonts w:ascii="Times New Roman" w:hAnsi="Times New Roman" w:cs="Times New Roman"/>
          <w:i/>
        </w:rPr>
        <w:t xml:space="preserve">Hall Street </w:t>
      </w:r>
      <w:r w:rsidR="00F15165" w:rsidRPr="00617A78">
        <w:rPr>
          <w:rFonts w:ascii="Times New Roman" w:hAnsi="Times New Roman" w:cs="Times New Roman"/>
        </w:rPr>
        <w:t>completely abrogated the doctrine of manifest disregard.</w:t>
      </w:r>
      <w:r w:rsidR="00F15165" w:rsidRPr="00617A78">
        <w:rPr>
          <w:rFonts w:ascii="Times New Roman" w:hAnsi="Times New Roman" w:cs="Times New Roman"/>
          <w:i/>
        </w:rPr>
        <w:t xml:space="preserve"> </w:t>
      </w:r>
      <w:r w:rsidR="003C04DE" w:rsidRPr="00617A78">
        <w:rPr>
          <w:rFonts w:ascii="Times New Roman" w:hAnsi="Times New Roman" w:cs="Times New Roman"/>
        </w:rPr>
        <w:t xml:space="preserve">With the preceding in mind, it was then argued that manifest disregard remains a valid avenue for challenging arbitral awards (in most circuits), despite </w:t>
      </w:r>
      <w:r w:rsidR="003C04DE" w:rsidRPr="00617A78">
        <w:rPr>
          <w:rFonts w:ascii="Times New Roman" w:hAnsi="Times New Roman" w:cs="Times New Roman"/>
          <w:i/>
        </w:rPr>
        <w:t>Hall Street</w:t>
      </w:r>
      <w:r w:rsidR="00D91179" w:rsidRPr="00617A78">
        <w:rPr>
          <w:rFonts w:ascii="Times New Roman" w:hAnsi="Times New Roman" w:cs="Times New Roman"/>
        </w:rPr>
        <w:t xml:space="preserve">. After discussing the Court’s language in </w:t>
      </w:r>
      <w:r w:rsidR="00D91179" w:rsidRPr="00617A78">
        <w:rPr>
          <w:rFonts w:ascii="Times New Roman" w:hAnsi="Times New Roman" w:cs="Times New Roman"/>
          <w:i/>
        </w:rPr>
        <w:t>Hall Street</w:t>
      </w:r>
      <w:r w:rsidR="00D91179" w:rsidRPr="00617A78">
        <w:rPr>
          <w:rFonts w:ascii="Times New Roman" w:hAnsi="Times New Roman" w:cs="Times New Roman"/>
        </w:rPr>
        <w:t xml:space="preserve"> and the doctrine’s continuing validity in a number of Circuit Courts, it was determine that the doctrine is not dead; but rather still exists, possibly as common-law, but most likely as a judicial gloss/shorthand for the grounds enumerated in FAA § 10. </w:t>
      </w:r>
      <w:r w:rsidR="009217EC" w:rsidRPr="00617A78">
        <w:rPr>
          <w:rFonts w:ascii="Times New Roman" w:hAnsi="Times New Roman" w:cs="Times New Roman"/>
        </w:rPr>
        <w:t xml:space="preserve">It was then suggested that the most efficient means for resolving the circuit split would be for the Supreme Court to issue an explicit holding that would guide lower courts regarding the correct interpretation and application of manifest disregard. </w:t>
      </w:r>
      <w:r w:rsidR="00595F3D" w:rsidRPr="00617A78">
        <w:rPr>
          <w:rFonts w:ascii="Times New Roman" w:hAnsi="Times New Roman" w:cs="Times New Roman"/>
        </w:rPr>
        <w:t>H</w:t>
      </w:r>
      <w:r w:rsidR="009217EC" w:rsidRPr="00617A78">
        <w:rPr>
          <w:rFonts w:ascii="Times New Roman" w:hAnsi="Times New Roman" w:cs="Times New Roman"/>
        </w:rPr>
        <w:t xml:space="preserve">owever, the likelihood this will occur </w:t>
      </w:r>
      <w:r w:rsidR="00423191" w:rsidRPr="00617A78">
        <w:rPr>
          <w:rFonts w:ascii="Times New Roman" w:hAnsi="Times New Roman" w:cs="Times New Roman"/>
        </w:rPr>
        <w:t xml:space="preserve">in the near future </w:t>
      </w:r>
      <w:r w:rsidR="009217EC" w:rsidRPr="00617A78">
        <w:rPr>
          <w:rFonts w:ascii="Times New Roman" w:hAnsi="Times New Roman" w:cs="Times New Roman"/>
        </w:rPr>
        <w:t xml:space="preserve">is </w:t>
      </w:r>
      <w:r w:rsidR="00423191" w:rsidRPr="00617A78">
        <w:rPr>
          <w:rFonts w:ascii="Times New Roman" w:hAnsi="Times New Roman" w:cs="Times New Roman"/>
        </w:rPr>
        <w:t xml:space="preserve">questionable at best. </w:t>
      </w:r>
      <w:r w:rsidR="00595F3D" w:rsidRPr="00617A78">
        <w:rPr>
          <w:rFonts w:ascii="Times New Roman" w:hAnsi="Times New Roman" w:cs="Times New Roman"/>
        </w:rPr>
        <w:t xml:space="preserve">As a result, the fate of the doctrine of manifest disregard remains uncertain, and will remain uncertain, despite its arguably continuing viability, unless and until an opinion is issued by the Supreme Court resolving the issue. </w:t>
      </w:r>
    </w:p>
    <w:p w14:paraId="6FB5602F" w14:textId="77777777" w:rsidR="007A0183" w:rsidRPr="00617A78" w:rsidRDefault="007A0183" w:rsidP="004E77D6">
      <w:pPr>
        <w:widowControl w:val="0"/>
        <w:rPr>
          <w:rFonts w:ascii="Times New Roman" w:hAnsi="Times New Roman" w:cs="Times New Roman"/>
        </w:rPr>
      </w:pPr>
    </w:p>
    <w:sectPr w:rsidR="007A0183" w:rsidRPr="00617A78" w:rsidSect="004E77D6">
      <w:headerReference w:type="default" r:id="rId8"/>
      <w:footerReference w:type="even" r:id="rId9"/>
      <w:footerReference w:type="default" r:id="rId10"/>
      <w:pgSz w:w="10080" w:h="1440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C57FB" w14:textId="77777777" w:rsidR="00143FF2" w:rsidRDefault="00143FF2" w:rsidP="007C587F">
      <w:r>
        <w:separator/>
      </w:r>
    </w:p>
  </w:endnote>
  <w:endnote w:type="continuationSeparator" w:id="0">
    <w:p w14:paraId="6BCC7BE6" w14:textId="77777777" w:rsidR="00143FF2" w:rsidRDefault="00143FF2" w:rsidP="007C5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1E5C7" w14:textId="77777777" w:rsidR="00AD3492" w:rsidRDefault="00AD3492" w:rsidP="00B366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28EA64" w14:textId="77777777" w:rsidR="00AD3492" w:rsidRDefault="00AD34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97D4A" w14:textId="77777777" w:rsidR="00AD3492" w:rsidRPr="00E81B71" w:rsidRDefault="00AD3492" w:rsidP="00B366B7">
    <w:pPr>
      <w:pStyle w:val="Footer"/>
      <w:framePr w:wrap="around" w:vAnchor="text" w:hAnchor="margin" w:xAlign="center" w:y="1"/>
      <w:rPr>
        <w:rStyle w:val="PageNumber"/>
        <w:rFonts w:ascii="Times New Roman" w:hAnsi="Times New Roman" w:cs="Times New Roman"/>
      </w:rPr>
    </w:pPr>
    <w:r w:rsidRPr="00E81B71">
      <w:rPr>
        <w:rStyle w:val="PageNumber"/>
        <w:rFonts w:ascii="Times New Roman" w:hAnsi="Times New Roman" w:cs="Times New Roman"/>
      </w:rPr>
      <w:fldChar w:fldCharType="begin"/>
    </w:r>
    <w:r w:rsidRPr="00E81B71">
      <w:rPr>
        <w:rStyle w:val="PageNumber"/>
        <w:rFonts w:ascii="Times New Roman" w:hAnsi="Times New Roman" w:cs="Times New Roman"/>
      </w:rPr>
      <w:instrText xml:space="preserve">PAGE  </w:instrText>
    </w:r>
    <w:r w:rsidRPr="00E81B71">
      <w:rPr>
        <w:rStyle w:val="PageNumber"/>
        <w:rFonts w:ascii="Times New Roman" w:hAnsi="Times New Roman" w:cs="Times New Roman"/>
      </w:rPr>
      <w:fldChar w:fldCharType="separate"/>
    </w:r>
    <w:r w:rsidR="008A45C8">
      <w:rPr>
        <w:rStyle w:val="PageNumber"/>
        <w:rFonts w:ascii="Times New Roman" w:hAnsi="Times New Roman" w:cs="Times New Roman"/>
        <w:noProof/>
      </w:rPr>
      <w:t>1</w:t>
    </w:r>
    <w:r w:rsidRPr="00E81B71">
      <w:rPr>
        <w:rStyle w:val="PageNumber"/>
        <w:rFonts w:ascii="Times New Roman" w:hAnsi="Times New Roman" w:cs="Times New Roman"/>
      </w:rPr>
      <w:fldChar w:fldCharType="end"/>
    </w:r>
  </w:p>
  <w:p w14:paraId="48887106" w14:textId="77777777" w:rsidR="00AD3492" w:rsidRDefault="00AD34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C68DE9" w14:textId="77777777" w:rsidR="00143FF2" w:rsidRDefault="00143FF2" w:rsidP="007C587F">
      <w:r>
        <w:separator/>
      </w:r>
    </w:p>
  </w:footnote>
  <w:footnote w:type="continuationSeparator" w:id="0">
    <w:p w14:paraId="48D3F598" w14:textId="77777777" w:rsidR="00143FF2" w:rsidRDefault="00143FF2" w:rsidP="007C587F">
      <w:r>
        <w:continuationSeparator/>
      </w:r>
    </w:p>
  </w:footnote>
  <w:footnote w:id="1">
    <w:p w14:paraId="48C1CFCC" w14:textId="4E4D997A" w:rsidR="00AD3492" w:rsidRPr="00617A78" w:rsidRDefault="00AD3492">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proofErr w:type="gramStart"/>
      <w:r w:rsidRPr="00617A78">
        <w:rPr>
          <w:rFonts w:ascii="Times New Roman" w:hAnsi="Times New Roman" w:cs="Times New Roman"/>
          <w:i/>
          <w:iCs/>
          <w:sz w:val="20"/>
          <w:szCs w:val="20"/>
        </w:rPr>
        <w:t>Hall St. Assocs., L.L.C. v Mattel, Inc.</w:t>
      </w:r>
      <w:r w:rsidRPr="00617A78">
        <w:rPr>
          <w:rFonts w:ascii="Times New Roman" w:hAnsi="Times New Roman" w:cs="Times New Roman"/>
          <w:sz w:val="20"/>
          <w:szCs w:val="20"/>
        </w:rPr>
        <w:t>, 552 U.S. 576 (2008).</w:t>
      </w:r>
      <w:proofErr w:type="gramEnd"/>
    </w:p>
  </w:footnote>
  <w:footnote w:id="2">
    <w:p w14:paraId="01E55372" w14:textId="0FE6AB3D" w:rsidR="00AD3492" w:rsidRPr="00617A78" w:rsidRDefault="00AD3492" w:rsidP="00133BC1">
      <w:pPr>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Carolina Rizzo, </w:t>
      </w:r>
      <w:r w:rsidRPr="00617A78">
        <w:rPr>
          <w:rFonts w:ascii="Times New Roman" w:hAnsi="Times New Roman" w:cs="Times New Roman"/>
          <w:i/>
          <w:sz w:val="20"/>
          <w:szCs w:val="20"/>
        </w:rPr>
        <w:t xml:space="preserve">Why ‘Manifest Disregard’ Survives As An Independent Standard For </w:t>
      </w:r>
      <w:proofErr w:type="spellStart"/>
      <w:r w:rsidRPr="00617A78">
        <w:rPr>
          <w:rFonts w:ascii="Times New Roman" w:hAnsi="Times New Roman" w:cs="Times New Roman"/>
          <w:i/>
          <w:sz w:val="20"/>
          <w:szCs w:val="20"/>
        </w:rPr>
        <w:t>Vacatur</w:t>
      </w:r>
      <w:proofErr w:type="spellEnd"/>
      <w:r w:rsidRPr="00617A78">
        <w:rPr>
          <w:rFonts w:ascii="Times New Roman" w:hAnsi="Times New Roman" w:cs="Times New Roman"/>
          <w:i/>
          <w:sz w:val="20"/>
          <w:szCs w:val="20"/>
        </w:rPr>
        <w:t xml:space="preserve"> of Arbitral Awards Even After Hall Street</w:t>
      </w:r>
      <w:r w:rsidRPr="00617A78">
        <w:rPr>
          <w:rFonts w:ascii="Times New Roman" w:hAnsi="Times New Roman" w:cs="Times New Roman"/>
          <w:sz w:val="20"/>
          <w:szCs w:val="20"/>
        </w:rPr>
        <w:t xml:space="preserve">, 3 </w:t>
      </w:r>
      <w:proofErr w:type="spellStart"/>
      <w:r w:rsidRPr="00617A78">
        <w:rPr>
          <w:rFonts w:ascii="Times New Roman" w:hAnsi="Times New Roman" w:cs="Times New Roman"/>
          <w:sz w:val="20"/>
          <w:szCs w:val="20"/>
        </w:rPr>
        <w:t>Arb</w:t>
      </w:r>
      <w:proofErr w:type="spellEnd"/>
      <w:r w:rsidRPr="00617A78">
        <w:rPr>
          <w:rFonts w:ascii="Times New Roman" w:hAnsi="Times New Roman" w:cs="Times New Roman"/>
          <w:sz w:val="20"/>
          <w:szCs w:val="20"/>
        </w:rPr>
        <w:t xml:space="preserve">. </w:t>
      </w:r>
      <w:proofErr w:type="gramStart"/>
      <w:r w:rsidRPr="00617A78">
        <w:rPr>
          <w:rFonts w:ascii="Times New Roman" w:hAnsi="Times New Roman" w:cs="Times New Roman"/>
          <w:sz w:val="20"/>
          <w:szCs w:val="20"/>
        </w:rPr>
        <w:t>Brief 1, 12-13 (2013).</w:t>
      </w:r>
      <w:proofErr w:type="gramEnd"/>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See</w:t>
      </w:r>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 xml:space="preserve">infra </w:t>
      </w:r>
      <w:r w:rsidRPr="00617A78">
        <w:rPr>
          <w:rFonts w:ascii="Times New Roman" w:hAnsi="Times New Roman" w:cs="Times New Roman"/>
          <w:sz w:val="20"/>
          <w:szCs w:val="20"/>
        </w:rPr>
        <w:t xml:space="preserve">Part </w:t>
      </w:r>
      <w:proofErr w:type="gramStart"/>
      <w:r w:rsidRPr="00617A78">
        <w:rPr>
          <w:rFonts w:ascii="Times New Roman" w:hAnsi="Times New Roman" w:cs="Times New Roman"/>
          <w:sz w:val="20"/>
          <w:szCs w:val="20"/>
        </w:rPr>
        <w:t>IV(</w:t>
      </w:r>
      <w:proofErr w:type="gramEnd"/>
      <w:r w:rsidRPr="00617A78">
        <w:rPr>
          <w:rFonts w:ascii="Times New Roman" w:hAnsi="Times New Roman" w:cs="Times New Roman"/>
          <w:sz w:val="20"/>
          <w:szCs w:val="20"/>
        </w:rPr>
        <w:t xml:space="preserve">a)(i)-(iii).  </w:t>
      </w:r>
    </w:p>
  </w:footnote>
  <w:footnote w:id="3">
    <w:p w14:paraId="3E0F00FD" w14:textId="338DF64F" w:rsidR="00AD3492" w:rsidRPr="00617A78" w:rsidRDefault="00AD3492">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Carolina Rizzo, </w:t>
      </w:r>
      <w:r w:rsidRPr="00617A78">
        <w:rPr>
          <w:rFonts w:ascii="Times New Roman" w:hAnsi="Times New Roman" w:cs="Times New Roman"/>
          <w:i/>
          <w:sz w:val="20"/>
          <w:szCs w:val="20"/>
        </w:rPr>
        <w:t xml:space="preserve">Why ‘Manifest Disregard’ Survives As An Independent Standard For </w:t>
      </w:r>
      <w:proofErr w:type="spellStart"/>
      <w:r w:rsidRPr="00617A78">
        <w:rPr>
          <w:rFonts w:ascii="Times New Roman" w:hAnsi="Times New Roman" w:cs="Times New Roman"/>
          <w:i/>
          <w:sz w:val="20"/>
          <w:szCs w:val="20"/>
        </w:rPr>
        <w:t>Vacatur</w:t>
      </w:r>
      <w:proofErr w:type="spellEnd"/>
      <w:r w:rsidRPr="00617A78">
        <w:rPr>
          <w:rFonts w:ascii="Times New Roman" w:hAnsi="Times New Roman" w:cs="Times New Roman"/>
          <w:i/>
          <w:sz w:val="20"/>
          <w:szCs w:val="20"/>
        </w:rPr>
        <w:t xml:space="preserve"> of Arbitral Awards Even After Hall Street</w:t>
      </w:r>
      <w:r w:rsidRPr="00617A78">
        <w:rPr>
          <w:rFonts w:ascii="Times New Roman" w:hAnsi="Times New Roman" w:cs="Times New Roman"/>
          <w:sz w:val="20"/>
          <w:szCs w:val="20"/>
        </w:rPr>
        <w:t xml:space="preserve">, 3 </w:t>
      </w:r>
      <w:proofErr w:type="spellStart"/>
      <w:r w:rsidRPr="00617A78">
        <w:rPr>
          <w:rFonts w:ascii="Times New Roman" w:hAnsi="Times New Roman" w:cs="Times New Roman"/>
          <w:sz w:val="20"/>
          <w:szCs w:val="20"/>
        </w:rPr>
        <w:t>Arb</w:t>
      </w:r>
      <w:proofErr w:type="spellEnd"/>
      <w:r w:rsidRPr="00617A78">
        <w:rPr>
          <w:rFonts w:ascii="Times New Roman" w:hAnsi="Times New Roman" w:cs="Times New Roman"/>
          <w:sz w:val="20"/>
          <w:szCs w:val="20"/>
        </w:rPr>
        <w:t xml:space="preserve">. </w:t>
      </w:r>
      <w:proofErr w:type="gramStart"/>
      <w:r w:rsidRPr="00617A78">
        <w:rPr>
          <w:rFonts w:ascii="Times New Roman" w:hAnsi="Times New Roman" w:cs="Times New Roman"/>
          <w:sz w:val="20"/>
          <w:szCs w:val="20"/>
        </w:rPr>
        <w:t>Brief 1, 12-13 (2013).</w:t>
      </w:r>
      <w:proofErr w:type="gramEnd"/>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See</w:t>
      </w:r>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infra</w:t>
      </w:r>
      <w:r w:rsidRPr="00617A78">
        <w:rPr>
          <w:rFonts w:ascii="Times New Roman" w:hAnsi="Times New Roman" w:cs="Times New Roman"/>
          <w:sz w:val="20"/>
          <w:szCs w:val="20"/>
        </w:rPr>
        <w:t xml:space="preserve"> Part IV(c)(i)-(ii). </w:t>
      </w:r>
      <w:r w:rsidRPr="00617A78">
        <w:rPr>
          <w:rFonts w:ascii="Times New Roman" w:hAnsi="Times New Roman" w:cs="Times New Roman"/>
          <w:i/>
          <w:sz w:val="20"/>
          <w:szCs w:val="20"/>
        </w:rPr>
        <w:t>See also</w:t>
      </w:r>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infra</w:t>
      </w:r>
      <w:r w:rsidRPr="00617A78">
        <w:rPr>
          <w:rFonts w:ascii="Times New Roman" w:hAnsi="Times New Roman" w:cs="Times New Roman"/>
          <w:sz w:val="20"/>
          <w:szCs w:val="20"/>
        </w:rPr>
        <w:t xml:space="preserve"> Part </w:t>
      </w:r>
      <w:proofErr w:type="gramStart"/>
      <w:r w:rsidRPr="00617A78">
        <w:rPr>
          <w:rFonts w:ascii="Times New Roman" w:hAnsi="Times New Roman" w:cs="Times New Roman"/>
          <w:sz w:val="20"/>
          <w:szCs w:val="20"/>
        </w:rPr>
        <w:t>IV(</w:t>
      </w:r>
      <w:proofErr w:type="gramEnd"/>
      <w:r w:rsidRPr="00617A78">
        <w:rPr>
          <w:rFonts w:ascii="Times New Roman" w:hAnsi="Times New Roman" w:cs="Times New Roman"/>
          <w:sz w:val="20"/>
          <w:szCs w:val="20"/>
        </w:rPr>
        <w:t xml:space="preserve">d). </w:t>
      </w:r>
    </w:p>
  </w:footnote>
  <w:footnote w:id="4">
    <w:p w14:paraId="37E22F7F" w14:textId="5FA3FB77" w:rsidR="00AD3492" w:rsidRPr="00617A78" w:rsidRDefault="00AD3492">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 xml:space="preserve">See infra </w:t>
      </w:r>
      <w:r w:rsidRPr="00617A78">
        <w:rPr>
          <w:rFonts w:ascii="Times New Roman" w:hAnsi="Times New Roman" w:cs="Times New Roman"/>
          <w:sz w:val="20"/>
          <w:szCs w:val="20"/>
        </w:rPr>
        <w:t xml:space="preserve">Part </w:t>
      </w:r>
      <w:proofErr w:type="gramStart"/>
      <w:r w:rsidRPr="00617A78">
        <w:rPr>
          <w:rFonts w:ascii="Times New Roman" w:hAnsi="Times New Roman" w:cs="Times New Roman"/>
          <w:sz w:val="20"/>
          <w:szCs w:val="20"/>
        </w:rPr>
        <w:t>IV(</w:t>
      </w:r>
      <w:proofErr w:type="gramEnd"/>
      <w:r w:rsidRPr="00617A78">
        <w:rPr>
          <w:rFonts w:ascii="Times New Roman" w:hAnsi="Times New Roman" w:cs="Times New Roman"/>
          <w:sz w:val="20"/>
          <w:szCs w:val="20"/>
        </w:rPr>
        <w:t xml:space="preserve">b). </w:t>
      </w:r>
      <w:r w:rsidRPr="00617A78">
        <w:rPr>
          <w:rFonts w:ascii="Times New Roman" w:hAnsi="Times New Roman" w:cs="Times New Roman"/>
          <w:i/>
          <w:sz w:val="20"/>
          <w:szCs w:val="20"/>
        </w:rPr>
        <w:t>See also</w:t>
      </w:r>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infra</w:t>
      </w:r>
      <w:r w:rsidRPr="00617A78">
        <w:rPr>
          <w:rFonts w:ascii="Times New Roman" w:hAnsi="Times New Roman" w:cs="Times New Roman"/>
          <w:sz w:val="20"/>
          <w:szCs w:val="20"/>
        </w:rPr>
        <w:t xml:space="preserve"> Part </w:t>
      </w:r>
      <w:proofErr w:type="gramStart"/>
      <w:r w:rsidRPr="00617A78">
        <w:rPr>
          <w:rFonts w:ascii="Times New Roman" w:hAnsi="Times New Roman" w:cs="Times New Roman"/>
          <w:sz w:val="20"/>
          <w:szCs w:val="20"/>
        </w:rPr>
        <w:t>IV(</w:t>
      </w:r>
      <w:proofErr w:type="gramEnd"/>
      <w:r w:rsidRPr="00617A78">
        <w:rPr>
          <w:rFonts w:ascii="Times New Roman" w:hAnsi="Times New Roman" w:cs="Times New Roman"/>
          <w:sz w:val="20"/>
          <w:szCs w:val="20"/>
        </w:rPr>
        <w:t xml:space="preserve">d). </w:t>
      </w:r>
    </w:p>
  </w:footnote>
  <w:footnote w:id="5">
    <w:p w14:paraId="0FEF292D" w14:textId="6CE97CDC" w:rsidR="00AD3492" w:rsidRPr="00617A78" w:rsidRDefault="00AD3492" w:rsidP="007F5B32">
      <w:pPr>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See e.g.</w:t>
      </w:r>
      <w:r w:rsidRPr="00617A78">
        <w:rPr>
          <w:rFonts w:ascii="Times New Roman" w:hAnsi="Times New Roman" w:cs="Times New Roman"/>
          <w:sz w:val="20"/>
          <w:szCs w:val="20"/>
        </w:rPr>
        <w:t xml:space="preserve">, </w:t>
      </w:r>
      <w:r w:rsidRPr="00617A78">
        <w:rPr>
          <w:rFonts w:ascii="Times New Roman" w:hAnsi="Times New Roman" w:cs="Times New Roman"/>
          <w:i/>
          <w:iCs/>
          <w:sz w:val="20"/>
          <w:szCs w:val="20"/>
        </w:rPr>
        <w:t xml:space="preserve">Stolt-Nielsen S. A. v </w:t>
      </w:r>
      <w:proofErr w:type="spellStart"/>
      <w:r w:rsidRPr="00617A78">
        <w:rPr>
          <w:rFonts w:ascii="Times New Roman" w:hAnsi="Times New Roman" w:cs="Times New Roman"/>
          <w:i/>
          <w:iCs/>
          <w:sz w:val="20"/>
          <w:szCs w:val="20"/>
        </w:rPr>
        <w:t>AnimalFeeds</w:t>
      </w:r>
      <w:proofErr w:type="spellEnd"/>
      <w:r w:rsidRPr="00617A78">
        <w:rPr>
          <w:rFonts w:ascii="Times New Roman" w:hAnsi="Times New Roman" w:cs="Times New Roman"/>
          <w:i/>
          <w:iCs/>
          <w:sz w:val="20"/>
          <w:szCs w:val="20"/>
        </w:rPr>
        <w:t xml:space="preserve"> Int'l Corp.</w:t>
      </w:r>
      <w:r w:rsidRPr="00617A78">
        <w:rPr>
          <w:rFonts w:ascii="Times New Roman" w:hAnsi="Times New Roman" w:cs="Times New Roman"/>
          <w:sz w:val="20"/>
          <w:szCs w:val="20"/>
        </w:rPr>
        <w:t xml:space="preserve">, 559 U.S. 662, 672, n.3 (2010) (“We do not decide whether ‘manifest disregard’ survives our decision in </w:t>
      </w:r>
      <w:r w:rsidRPr="00617A78">
        <w:rPr>
          <w:rFonts w:ascii="Times New Roman" w:hAnsi="Times New Roman" w:cs="Times New Roman"/>
          <w:i/>
          <w:iCs/>
          <w:sz w:val="20"/>
          <w:szCs w:val="20"/>
        </w:rPr>
        <w:t>Hall Street Associates, L.L.C.</w:t>
      </w:r>
      <w:r w:rsidRPr="00617A78">
        <w:rPr>
          <w:rFonts w:ascii="Times New Roman" w:hAnsi="Times New Roman" w:cs="Times New Roman"/>
          <w:sz w:val="20"/>
          <w:szCs w:val="20"/>
        </w:rPr>
        <w:t xml:space="preserve"> v. </w:t>
      </w:r>
      <w:r w:rsidRPr="00617A78">
        <w:rPr>
          <w:rFonts w:ascii="Times New Roman" w:hAnsi="Times New Roman" w:cs="Times New Roman"/>
          <w:i/>
          <w:iCs/>
          <w:sz w:val="20"/>
          <w:szCs w:val="20"/>
        </w:rPr>
        <w:t>Mattel, Inc.</w:t>
      </w:r>
      <w:r w:rsidRPr="00617A78">
        <w:rPr>
          <w:rFonts w:ascii="Times New Roman" w:hAnsi="Times New Roman" w:cs="Times New Roman"/>
          <w:sz w:val="20"/>
          <w:szCs w:val="20"/>
        </w:rPr>
        <w:t xml:space="preserve">, 552 U.S. 576, 585, 128 S. Ct. 1396, 170 L. Ed. 2d 254 (2008), as an independent ground for review or as a judicial gloss on the enumerated grounds for </w:t>
      </w:r>
      <w:proofErr w:type="spellStart"/>
      <w:r w:rsidRPr="00617A78">
        <w:rPr>
          <w:rFonts w:ascii="Times New Roman" w:hAnsi="Times New Roman" w:cs="Times New Roman"/>
          <w:sz w:val="20"/>
          <w:szCs w:val="20"/>
        </w:rPr>
        <w:t>vacatur</w:t>
      </w:r>
      <w:proofErr w:type="spellEnd"/>
      <w:r w:rsidRPr="00617A78">
        <w:rPr>
          <w:rFonts w:ascii="Times New Roman" w:hAnsi="Times New Roman" w:cs="Times New Roman"/>
          <w:sz w:val="20"/>
          <w:szCs w:val="20"/>
        </w:rPr>
        <w:t xml:space="preserve"> set forth at 9 U.S.C. § 10.”); </w:t>
      </w:r>
      <w:r w:rsidRPr="00617A78">
        <w:rPr>
          <w:rFonts w:ascii="Times New Roman" w:hAnsi="Times New Roman" w:cs="Times New Roman"/>
          <w:i/>
          <w:iCs/>
          <w:sz w:val="20"/>
          <w:szCs w:val="20"/>
        </w:rPr>
        <w:t>Campbell's Foliage, Inc. v. Fed. Crop Ins. Corp.</w:t>
      </w:r>
      <w:r w:rsidRPr="00617A78">
        <w:rPr>
          <w:rFonts w:ascii="Times New Roman" w:hAnsi="Times New Roman" w:cs="Times New Roman"/>
          <w:sz w:val="20"/>
          <w:szCs w:val="20"/>
        </w:rPr>
        <w:t xml:space="preserve">, 562 F. </w:t>
      </w:r>
      <w:proofErr w:type="spellStart"/>
      <w:r w:rsidRPr="00617A78">
        <w:rPr>
          <w:rFonts w:ascii="Times New Roman" w:hAnsi="Times New Roman" w:cs="Times New Roman"/>
          <w:sz w:val="20"/>
          <w:szCs w:val="20"/>
        </w:rPr>
        <w:t>App'x</w:t>
      </w:r>
      <w:proofErr w:type="spellEnd"/>
      <w:r w:rsidRPr="00617A78">
        <w:rPr>
          <w:rFonts w:ascii="Times New Roman" w:hAnsi="Times New Roman" w:cs="Times New Roman"/>
          <w:sz w:val="20"/>
          <w:szCs w:val="20"/>
        </w:rPr>
        <w:t xml:space="preserve"> 828 (11th Cir. 2014), </w:t>
      </w:r>
      <w:r w:rsidRPr="00617A78">
        <w:rPr>
          <w:rFonts w:ascii="Times New Roman" w:hAnsi="Times New Roman" w:cs="Times New Roman"/>
          <w:i/>
          <w:sz w:val="20"/>
          <w:szCs w:val="20"/>
        </w:rPr>
        <w:t>cert. denied</w:t>
      </w:r>
      <w:r>
        <w:rPr>
          <w:rFonts w:ascii="Times New Roman" w:hAnsi="Times New Roman" w:cs="Times New Roman"/>
          <w:sz w:val="20"/>
          <w:szCs w:val="20"/>
        </w:rPr>
        <w:t xml:space="preserve">, __ U.S. __, 135 S. Ct. 145 </w:t>
      </w:r>
      <w:r w:rsidRPr="00617A78">
        <w:rPr>
          <w:rFonts w:ascii="Times New Roman" w:hAnsi="Times New Roman" w:cs="Times New Roman"/>
          <w:sz w:val="20"/>
          <w:szCs w:val="20"/>
        </w:rPr>
        <w:t xml:space="preserve">(2014); </w:t>
      </w:r>
      <w:r w:rsidRPr="00617A78">
        <w:rPr>
          <w:rFonts w:ascii="Times New Roman" w:hAnsi="Times New Roman" w:cs="Times New Roman"/>
          <w:i/>
          <w:iCs/>
          <w:sz w:val="20"/>
          <w:szCs w:val="20"/>
        </w:rPr>
        <w:t>Coffee Beanery, Ltd. v. WW, L.L.C.</w:t>
      </w:r>
      <w:r w:rsidRPr="00617A78">
        <w:rPr>
          <w:rFonts w:ascii="Times New Roman" w:hAnsi="Times New Roman" w:cs="Times New Roman"/>
          <w:sz w:val="20"/>
          <w:szCs w:val="20"/>
        </w:rPr>
        <w:t xml:space="preserve">, 300 F. </w:t>
      </w:r>
      <w:proofErr w:type="spellStart"/>
      <w:r w:rsidRPr="00617A78">
        <w:rPr>
          <w:rFonts w:ascii="Times New Roman" w:hAnsi="Times New Roman" w:cs="Times New Roman"/>
          <w:sz w:val="20"/>
          <w:szCs w:val="20"/>
        </w:rPr>
        <w:t>App'x</w:t>
      </w:r>
      <w:proofErr w:type="spellEnd"/>
      <w:r w:rsidRPr="00617A78">
        <w:rPr>
          <w:rFonts w:ascii="Times New Roman" w:hAnsi="Times New Roman" w:cs="Times New Roman"/>
          <w:sz w:val="20"/>
          <w:szCs w:val="20"/>
        </w:rPr>
        <w:t xml:space="preserve"> 415 (6th Cir. 2008), </w:t>
      </w:r>
      <w:r w:rsidRPr="00617A78">
        <w:rPr>
          <w:rFonts w:ascii="Times New Roman" w:hAnsi="Times New Roman" w:cs="Times New Roman"/>
          <w:i/>
          <w:sz w:val="20"/>
          <w:szCs w:val="20"/>
        </w:rPr>
        <w:t>cert. denied</w:t>
      </w:r>
      <w:r w:rsidRPr="00617A78">
        <w:rPr>
          <w:rFonts w:ascii="Times New Roman" w:hAnsi="Times New Roman" w:cs="Times New Roman"/>
          <w:sz w:val="20"/>
          <w:szCs w:val="20"/>
        </w:rPr>
        <w:t>, 558 U.S. 819 (2009).</w:t>
      </w:r>
    </w:p>
  </w:footnote>
  <w:footnote w:id="6">
    <w:p w14:paraId="681FF346" w14:textId="3D7BC85D" w:rsidR="00AD3492" w:rsidRPr="00617A78" w:rsidRDefault="00AD3492" w:rsidP="007C587F">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Federal Arbitration Act, 9 U.S.C. § 1, </w:t>
      </w:r>
      <w:r w:rsidRPr="00617A78">
        <w:rPr>
          <w:rFonts w:ascii="Times New Roman" w:hAnsi="Times New Roman" w:cs="Times New Roman"/>
          <w:i/>
          <w:sz w:val="20"/>
          <w:szCs w:val="20"/>
        </w:rPr>
        <w:t xml:space="preserve">et seq. </w:t>
      </w:r>
      <w:r w:rsidRPr="00617A78">
        <w:rPr>
          <w:rFonts w:ascii="Times New Roman" w:hAnsi="Times New Roman" w:cs="Times New Roman"/>
          <w:sz w:val="20"/>
          <w:szCs w:val="20"/>
        </w:rPr>
        <w:t xml:space="preserve">(1925) [Hereinafter “FAA”]. </w:t>
      </w:r>
    </w:p>
  </w:footnote>
  <w:footnote w:id="7">
    <w:p w14:paraId="0E77090D" w14:textId="515BD89C" w:rsidR="00AD3492" w:rsidRPr="00617A78" w:rsidRDefault="00AD3492" w:rsidP="007C587F">
      <w:pPr>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proofErr w:type="gramStart"/>
      <w:r w:rsidRPr="00617A78">
        <w:rPr>
          <w:rFonts w:ascii="Times New Roman" w:hAnsi="Times New Roman" w:cs="Times New Roman"/>
          <w:i/>
          <w:iCs/>
          <w:sz w:val="20"/>
          <w:szCs w:val="20"/>
        </w:rPr>
        <w:t>Hall St. Assocs., L.L.C. v Mattel, Inc.</w:t>
      </w:r>
      <w:r w:rsidRPr="00617A78">
        <w:rPr>
          <w:rFonts w:ascii="Times New Roman" w:hAnsi="Times New Roman" w:cs="Times New Roman"/>
          <w:sz w:val="20"/>
          <w:szCs w:val="20"/>
        </w:rPr>
        <w:t>, 552 U.S. 576, 578 (2008); FAA § 10.</w:t>
      </w:r>
      <w:proofErr w:type="gramEnd"/>
      <w:r w:rsidRPr="00617A78">
        <w:rPr>
          <w:rFonts w:ascii="Times New Roman" w:hAnsi="Times New Roman" w:cs="Times New Roman"/>
          <w:sz w:val="20"/>
          <w:szCs w:val="20"/>
        </w:rPr>
        <w:t xml:space="preserve"> </w:t>
      </w:r>
    </w:p>
  </w:footnote>
  <w:footnote w:id="8">
    <w:p w14:paraId="07A2F53E" w14:textId="52E3C68D" w:rsidR="00AD3492" w:rsidRPr="00617A78" w:rsidRDefault="00AD3492" w:rsidP="000936BA">
      <w:pPr>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Annie Chen, </w:t>
      </w:r>
      <w:r w:rsidRPr="00617A78">
        <w:rPr>
          <w:rFonts w:ascii="Times New Roman" w:hAnsi="Times New Roman" w:cs="Times New Roman"/>
          <w:i/>
          <w:sz w:val="20"/>
          <w:szCs w:val="20"/>
        </w:rPr>
        <w:t>The Doctrine of Manifest Disregard of the Law After Hall Street: Implications for Judicial Review of International Arbitrations in U.S. Courts</w:t>
      </w:r>
      <w:r w:rsidRPr="00617A78">
        <w:rPr>
          <w:rFonts w:ascii="Times New Roman" w:hAnsi="Times New Roman" w:cs="Times New Roman"/>
          <w:sz w:val="20"/>
          <w:szCs w:val="20"/>
        </w:rPr>
        <w:t xml:space="preserve">, 32 Fordham Int’l L.J. 1872, 1879 (2008-2009); </w:t>
      </w:r>
      <w:proofErr w:type="spellStart"/>
      <w:r w:rsidRPr="00617A78">
        <w:rPr>
          <w:rFonts w:ascii="Times New Roman" w:hAnsi="Times New Roman" w:cs="Times New Roman"/>
          <w:sz w:val="20"/>
          <w:szCs w:val="20"/>
        </w:rPr>
        <w:t>Hiro</w:t>
      </w:r>
      <w:proofErr w:type="spellEnd"/>
      <w:r w:rsidRPr="00617A78">
        <w:rPr>
          <w:rFonts w:ascii="Times New Roman" w:hAnsi="Times New Roman" w:cs="Times New Roman"/>
          <w:sz w:val="20"/>
          <w:szCs w:val="20"/>
        </w:rPr>
        <w:t xml:space="preserve"> N. </w:t>
      </w:r>
      <w:proofErr w:type="spellStart"/>
      <w:r w:rsidRPr="00617A78">
        <w:rPr>
          <w:rFonts w:ascii="Times New Roman" w:hAnsi="Times New Roman" w:cs="Times New Roman"/>
          <w:sz w:val="20"/>
          <w:szCs w:val="20"/>
        </w:rPr>
        <w:t>Aragaki</w:t>
      </w:r>
      <w:proofErr w:type="spellEnd"/>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The Mess of Manifest Disregard</w:t>
      </w:r>
      <w:r w:rsidRPr="00617A78">
        <w:rPr>
          <w:rFonts w:ascii="Times New Roman" w:hAnsi="Times New Roman" w:cs="Times New Roman"/>
          <w:sz w:val="20"/>
          <w:szCs w:val="20"/>
        </w:rPr>
        <w:t xml:space="preserve">, </w:t>
      </w:r>
      <w:r w:rsidRPr="00617A78">
        <w:rPr>
          <w:rFonts w:ascii="Times New Roman" w:hAnsi="Times New Roman" w:cs="Times New Roman"/>
          <w:smallCaps/>
          <w:sz w:val="20"/>
          <w:szCs w:val="20"/>
        </w:rPr>
        <w:t>The Yale Law Journal,</w:t>
      </w:r>
      <w:r w:rsidRPr="00617A78">
        <w:rPr>
          <w:rFonts w:ascii="Times New Roman" w:hAnsi="Times New Roman" w:cs="Times New Roman"/>
          <w:sz w:val="20"/>
          <w:szCs w:val="20"/>
        </w:rPr>
        <w:t xml:space="preserve"> at 1 (Sep. 29, 2009), </w:t>
      </w:r>
      <w:r w:rsidRPr="00617A78">
        <w:rPr>
          <w:rFonts w:ascii="Times New Roman" w:hAnsi="Times New Roman" w:cs="Times New Roman"/>
          <w:i/>
          <w:sz w:val="20"/>
          <w:szCs w:val="20"/>
        </w:rPr>
        <w:t>available at</w:t>
      </w:r>
      <w:r w:rsidRPr="00617A78">
        <w:rPr>
          <w:rFonts w:ascii="Times New Roman" w:hAnsi="Times New Roman" w:cs="Times New Roman"/>
          <w:sz w:val="20"/>
          <w:szCs w:val="20"/>
        </w:rPr>
        <w:t xml:space="preserve">: http://www.yalelawjournal.org/pdf/817_hert8o16.pdf (“Manifest disregard is a common-law exception to the limited grounds for </w:t>
      </w:r>
      <w:proofErr w:type="spellStart"/>
      <w:r w:rsidRPr="00617A78">
        <w:rPr>
          <w:rFonts w:ascii="Times New Roman" w:hAnsi="Times New Roman" w:cs="Times New Roman"/>
          <w:sz w:val="20"/>
          <w:szCs w:val="20"/>
        </w:rPr>
        <w:t>vacatur</w:t>
      </w:r>
      <w:proofErr w:type="spellEnd"/>
      <w:r w:rsidRPr="00617A78">
        <w:rPr>
          <w:rFonts w:ascii="Times New Roman" w:hAnsi="Times New Roman" w:cs="Times New Roman"/>
          <w:sz w:val="20"/>
          <w:szCs w:val="20"/>
        </w:rPr>
        <w:t xml:space="preserve"> of arbitral award enumerated in the Federal Arbitration Act (FAA).”); </w:t>
      </w:r>
      <w:r w:rsidRPr="00617A78">
        <w:rPr>
          <w:rFonts w:ascii="Times New Roman" w:hAnsi="Times New Roman" w:cs="Times New Roman"/>
          <w:i/>
          <w:sz w:val="20"/>
          <w:szCs w:val="20"/>
        </w:rPr>
        <w:t xml:space="preserve">see </w:t>
      </w:r>
      <w:proofErr w:type="spellStart"/>
      <w:r w:rsidRPr="00617A78">
        <w:rPr>
          <w:rFonts w:ascii="Times New Roman" w:hAnsi="Times New Roman" w:cs="Times New Roman"/>
          <w:sz w:val="20"/>
          <w:szCs w:val="20"/>
        </w:rPr>
        <w:t>Carbonneau</w:t>
      </w:r>
      <w:proofErr w:type="spellEnd"/>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infra</w:t>
      </w:r>
      <w:r w:rsidRPr="00617A78">
        <w:rPr>
          <w:rFonts w:ascii="Times New Roman" w:hAnsi="Times New Roman" w:cs="Times New Roman"/>
          <w:sz w:val="20"/>
          <w:szCs w:val="20"/>
        </w:rPr>
        <w:t xml:space="preserve"> note 9; Huber, </w:t>
      </w:r>
      <w:r w:rsidRPr="00617A78">
        <w:rPr>
          <w:rFonts w:ascii="Times New Roman" w:hAnsi="Times New Roman" w:cs="Times New Roman"/>
          <w:i/>
          <w:sz w:val="20"/>
          <w:szCs w:val="20"/>
        </w:rPr>
        <w:t xml:space="preserve">infra </w:t>
      </w:r>
      <w:r w:rsidRPr="00617A78">
        <w:rPr>
          <w:rFonts w:ascii="Times New Roman" w:hAnsi="Times New Roman" w:cs="Times New Roman"/>
          <w:sz w:val="20"/>
          <w:szCs w:val="20"/>
        </w:rPr>
        <w:t>note 11.</w:t>
      </w:r>
    </w:p>
  </w:footnote>
  <w:footnote w:id="9">
    <w:p w14:paraId="11A703DF" w14:textId="072C5DC7" w:rsidR="00AD3492" w:rsidRPr="00617A78" w:rsidRDefault="00AD3492" w:rsidP="00785B0F">
      <w:pPr>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617A78">
        <w:rPr>
          <w:rFonts w:ascii="Times New Roman" w:hAnsi="Times New Roman" w:cs="Times New Roman"/>
          <w:sz w:val="20"/>
          <w:szCs w:val="20"/>
        </w:rPr>
        <w:t xml:space="preserve">Thomas E. </w:t>
      </w:r>
      <w:proofErr w:type="spellStart"/>
      <w:r w:rsidRPr="00617A78">
        <w:rPr>
          <w:rFonts w:ascii="Times New Roman" w:hAnsi="Times New Roman" w:cs="Times New Roman"/>
          <w:sz w:val="20"/>
          <w:szCs w:val="20"/>
        </w:rPr>
        <w:t>Carbonneau</w:t>
      </w:r>
      <w:proofErr w:type="spellEnd"/>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The Rise in Judicial Hostility to Arbitration: Revisiting Hall Street Associates</w:t>
      </w:r>
      <w:r w:rsidRPr="00617A78">
        <w:rPr>
          <w:rFonts w:ascii="Times New Roman" w:hAnsi="Times New Roman" w:cs="Times New Roman"/>
          <w:sz w:val="20"/>
          <w:szCs w:val="20"/>
        </w:rPr>
        <w:t xml:space="preserve">, 14 Cardozo J. Conflict </w:t>
      </w:r>
      <w:proofErr w:type="spellStart"/>
      <w:r w:rsidRPr="00617A78">
        <w:rPr>
          <w:rFonts w:ascii="Times New Roman" w:hAnsi="Times New Roman" w:cs="Times New Roman"/>
          <w:sz w:val="20"/>
          <w:szCs w:val="20"/>
        </w:rPr>
        <w:t>Resol</w:t>
      </w:r>
      <w:proofErr w:type="spellEnd"/>
      <w:r w:rsidRPr="00617A78">
        <w:rPr>
          <w:rFonts w:ascii="Times New Roman" w:hAnsi="Times New Roman" w:cs="Times New Roman"/>
          <w:sz w:val="20"/>
          <w:szCs w:val="20"/>
        </w:rPr>
        <w:t xml:space="preserve">. 593, 604-606 (2013); Richard C. Reuben, </w:t>
      </w:r>
      <w:r w:rsidRPr="00617A78">
        <w:rPr>
          <w:rFonts w:ascii="Times New Roman" w:hAnsi="Times New Roman" w:cs="Times New Roman"/>
          <w:i/>
          <w:sz w:val="20"/>
          <w:szCs w:val="20"/>
        </w:rPr>
        <w:t xml:space="preserve">Personal Autonomy and </w:t>
      </w:r>
      <w:proofErr w:type="spellStart"/>
      <w:r w:rsidRPr="00617A78">
        <w:rPr>
          <w:rFonts w:ascii="Times New Roman" w:hAnsi="Times New Roman" w:cs="Times New Roman"/>
          <w:i/>
          <w:sz w:val="20"/>
          <w:szCs w:val="20"/>
        </w:rPr>
        <w:t>Vacatur</w:t>
      </w:r>
      <w:proofErr w:type="spellEnd"/>
      <w:r w:rsidRPr="00617A78">
        <w:rPr>
          <w:rFonts w:ascii="Times New Roman" w:hAnsi="Times New Roman" w:cs="Times New Roman"/>
          <w:i/>
          <w:sz w:val="20"/>
          <w:szCs w:val="20"/>
        </w:rPr>
        <w:t xml:space="preserve"> After Hall Street</w:t>
      </w:r>
      <w:r w:rsidRPr="00617A78">
        <w:rPr>
          <w:rFonts w:ascii="Times New Roman" w:hAnsi="Times New Roman" w:cs="Times New Roman"/>
          <w:sz w:val="20"/>
          <w:szCs w:val="20"/>
        </w:rPr>
        <w:t xml:space="preserve">, 113 Penn St. L. Rev. 1103, 1110 (2008-2009); Lisa J. Banks &amp; Matthew S. Stiff, </w:t>
      </w:r>
      <w:r w:rsidRPr="00617A78">
        <w:rPr>
          <w:rFonts w:ascii="Times New Roman" w:hAnsi="Times New Roman" w:cs="Times New Roman"/>
          <w:i/>
          <w:sz w:val="20"/>
          <w:szCs w:val="20"/>
        </w:rPr>
        <w:t>The Federal Arbitration Act, ALI-CLE: Advanced Employment Law and Litigations 2013</w:t>
      </w:r>
      <w:r w:rsidRPr="00617A78">
        <w:rPr>
          <w:rFonts w:ascii="Times New Roman" w:hAnsi="Times New Roman" w:cs="Times New Roman"/>
          <w:sz w:val="20"/>
          <w:szCs w:val="20"/>
        </w:rPr>
        <w:t xml:space="preserve">, </w:t>
      </w:r>
      <w:r w:rsidRPr="00617A78">
        <w:rPr>
          <w:rFonts w:ascii="Times New Roman" w:hAnsi="Times New Roman" w:cs="Times New Roman"/>
          <w:smallCaps/>
          <w:sz w:val="20"/>
          <w:szCs w:val="20"/>
        </w:rPr>
        <w:t xml:space="preserve">Katz, Marshall &amp; Banks, LLP, </w:t>
      </w:r>
      <w:r w:rsidRPr="00617A78">
        <w:rPr>
          <w:rFonts w:ascii="Times New Roman" w:hAnsi="Times New Roman" w:cs="Times New Roman"/>
          <w:sz w:val="20"/>
          <w:szCs w:val="20"/>
        </w:rPr>
        <w:t xml:space="preserve">at 15 (last visited May 6, 2017), http://www.kmblegal.com/wp-content/uploads/ALI-CLE-Arbitration-Feb-2013.pdf; Chen,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_Ref355704712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8</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 xml:space="preserve">, at 1879. </w:t>
      </w:r>
    </w:p>
  </w:footnote>
  <w:footnote w:id="10">
    <w:p w14:paraId="4F4C4C44" w14:textId="1F963212" w:rsidR="00AD3492" w:rsidRPr="00617A78" w:rsidRDefault="00AD3492" w:rsidP="00785B0F">
      <w:pPr>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Jill I. Gross, </w:t>
      </w:r>
      <w:r w:rsidRPr="00617A78">
        <w:rPr>
          <w:rFonts w:ascii="Times New Roman" w:hAnsi="Times New Roman" w:cs="Times New Roman"/>
          <w:i/>
          <w:sz w:val="20"/>
          <w:szCs w:val="20"/>
        </w:rPr>
        <w:t>Hall Street Blues: The Uncertain Future of Manifest Disregard</w:t>
      </w:r>
      <w:r w:rsidRPr="00617A78">
        <w:rPr>
          <w:rFonts w:ascii="Times New Roman" w:hAnsi="Times New Roman" w:cs="Times New Roman"/>
          <w:sz w:val="20"/>
          <w:szCs w:val="20"/>
        </w:rPr>
        <w:t xml:space="preserve">, 37 Sec. Reg. L.J. 232, 270 (2009). </w:t>
      </w:r>
    </w:p>
  </w:footnote>
  <w:footnote w:id="11">
    <w:p w14:paraId="3D16A6C4" w14:textId="4B0C0128" w:rsidR="00AD3492" w:rsidRPr="00617A78" w:rsidRDefault="00AD3492" w:rsidP="00785B0F">
      <w:pPr>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Stephen K. Huber, </w:t>
      </w:r>
      <w:r w:rsidRPr="00617A78">
        <w:rPr>
          <w:rFonts w:ascii="Times New Roman" w:hAnsi="Times New Roman" w:cs="Times New Roman"/>
          <w:i/>
          <w:sz w:val="20"/>
          <w:szCs w:val="20"/>
        </w:rPr>
        <w:t>State Regulation of Arbitration Proceedings: Judicial Review of Arbitration Awards by State Courts</w:t>
      </w:r>
      <w:r w:rsidRPr="00617A78">
        <w:rPr>
          <w:rFonts w:ascii="Times New Roman" w:hAnsi="Times New Roman" w:cs="Times New Roman"/>
          <w:sz w:val="20"/>
          <w:szCs w:val="20"/>
        </w:rPr>
        <w:t xml:space="preserve">, 10 Cardozo J. Conflict </w:t>
      </w:r>
      <w:proofErr w:type="spellStart"/>
      <w:r w:rsidRPr="00617A78">
        <w:rPr>
          <w:rFonts w:ascii="Times New Roman" w:hAnsi="Times New Roman" w:cs="Times New Roman"/>
          <w:sz w:val="20"/>
          <w:szCs w:val="20"/>
        </w:rPr>
        <w:t>Resol</w:t>
      </w:r>
      <w:proofErr w:type="spellEnd"/>
      <w:r w:rsidRPr="00617A78">
        <w:rPr>
          <w:rFonts w:ascii="Times New Roman" w:hAnsi="Times New Roman" w:cs="Times New Roman"/>
          <w:sz w:val="20"/>
          <w:szCs w:val="20"/>
        </w:rPr>
        <w:t xml:space="preserve">. 509, 557 (2008-2009). </w:t>
      </w:r>
    </w:p>
  </w:footnote>
  <w:footnote w:id="12">
    <w:p w14:paraId="290893C8" w14:textId="747DD404" w:rsidR="00AD3492" w:rsidRPr="00617A78" w:rsidRDefault="00AD3492" w:rsidP="007C587F">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Huber,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_Ref355704865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11</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 at 557.</w:t>
      </w:r>
    </w:p>
  </w:footnote>
  <w:footnote w:id="13">
    <w:p w14:paraId="491A2CAF" w14:textId="38E028F3" w:rsidR="00AD3492" w:rsidRPr="00617A78" w:rsidRDefault="00AD3492" w:rsidP="007C587F">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Huber,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_Ref355704865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11</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 at 557.</w:t>
      </w:r>
    </w:p>
  </w:footnote>
  <w:footnote w:id="14">
    <w:p w14:paraId="4F96B949" w14:textId="31C0172B" w:rsidR="00AD3492" w:rsidRPr="00617A78" w:rsidRDefault="00AD3492" w:rsidP="00785B0F">
      <w:pPr>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Reuben,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_Ref355704940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9</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 xml:space="preserve">, at 1110 (“The manifest disregard standard is a non-statutory ground that emanates from dicta in the </w:t>
      </w:r>
      <w:proofErr w:type="spellStart"/>
      <w:r w:rsidRPr="00617A78">
        <w:rPr>
          <w:rFonts w:ascii="Times New Roman" w:hAnsi="Times New Roman" w:cs="Times New Roman"/>
          <w:i/>
          <w:sz w:val="20"/>
          <w:szCs w:val="20"/>
        </w:rPr>
        <w:t>Wilko</w:t>
      </w:r>
      <w:proofErr w:type="spellEnd"/>
      <w:r w:rsidRPr="00617A78">
        <w:rPr>
          <w:rFonts w:ascii="Times New Roman" w:hAnsi="Times New Roman" w:cs="Times New Roman"/>
          <w:i/>
          <w:sz w:val="20"/>
          <w:szCs w:val="20"/>
        </w:rPr>
        <w:t xml:space="preserve"> v. Swan </w:t>
      </w:r>
      <w:r w:rsidRPr="00617A78">
        <w:rPr>
          <w:rFonts w:ascii="Times New Roman" w:hAnsi="Times New Roman" w:cs="Times New Roman"/>
          <w:sz w:val="20"/>
          <w:szCs w:val="20"/>
        </w:rPr>
        <w:t xml:space="preserve">case….); Chen,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_Ref355704712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8</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 xml:space="preserve">, at 1879 (“The doctrine of manifest disregard of law traces its origins to 1953…in </w:t>
      </w:r>
      <w:proofErr w:type="spellStart"/>
      <w:r w:rsidRPr="00617A78">
        <w:rPr>
          <w:rFonts w:ascii="Times New Roman" w:hAnsi="Times New Roman" w:cs="Times New Roman"/>
          <w:i/>
          <w:sz w:val="20"/>
          <w:szCs w:val="20"/>
        </w:rPr>
        <w:t>Wilko</w:t>
      </w:r>
      <w:proofErr w:type="spellEnd"/>
      <w:r w:rsidRPr="00617A78">
        <w:rPr>
          <w:rFonts w:ascii="Times New Roman" w:hAnsi="Times New Roman" w:cs="Times New Roman"/>
          <w:i/>
          <w:sz w:val="20"/>
          <w:szCs w:val="20"/>
        </w:rPr>
        <w:t xml:space="preserve"> v. Swan</w:t>
      </w:r>
      <w:r w:rsidRPr="00617A78">
        <w:rPr>
          <w:rFonts w:ascii="Times New Roman" w:hAnsi="Times New Roman" w:cs="Times New Roman"/>
          <w:sz w:val="20"/>
          <w:szCs w:val="20"/>
        </w:rPr>
        <w:t xml:space="preserve">…. The entire doctrine of manifest disregard of the law has developed out of…dictum from </w:t>
      </w:r>
      <w:proofErr w:type="spellStart"/>
      <w:r w:rsidRPr="00617A78">
        <w:rPr>
          <w:rFonts w:ascii="Times New Roman" w:hAnsi="Times New Roman" w:cs="Times New Roman"/>
          <w:i/>
          <w:sz w:val="20"/>
          <w:szCs w:val="20"/>
        </w:rPr>
        <w:t>Wilko</w:t>
      </w:r>
      <w:proofErr w:type="spellEnd"/>
      <w:r w:rsidRPr="00617A78">
        <w:rPr>
          <w:rFonts w:ascii="Times New Roman" w:hAnsi="Times New Roman" w:cs="Times New Roman"/>
          <w:sz w:val="20"/>
          <w:szCs w:val="20"/>
        </w:rPr>
        <w:t xml:space="preserve">, a case that has been since overrule on its principle ruling.”); Matthew </w:t>
      </w:r>
      <w:proofErr w:type="spellStart"/>
      <w:r w:rsidRPr="00617A78">
        <w:rPr>
          <w:rFonts w:ascii="Times New Roman" w:hAnsi="Times New Roman" w:cs="Times New Roman"/>
          <w:sz w:val="20"/>
          <w:szCs w:val="20"/>
        </w:rPr>
        <w:t>Wolper</w:t>
      </w:r>
      <w:proofErr w:type="spellEnd"/>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“Manifest Disregard” Not Yet Entirely Disregarded</w:t>
      </w:r>
      <w:r w:rsidRPr="00617A78">
        <w:rPr>
          <w:rFonts w:ascii="Times New Roman" w:hAnsi="Times New Roman" w:cs="Times New Roman"/>
          <w:sz w:val="20"/>
          <w:szCs w:val="20"/>
        </w:rPr>
        <w:t xml:space="preserve">, 86 Fla. B.J. 27, 37 (2012) (“The origin of manifest disregard of the law is found in the Supreme Court’s opinion in </w:t>
      </w:r>
      <w:proofErr w:type="spellStart"/>
      <w:r w:rsidRPr="00617A78">
        <w:rPr>
          <w:rFonts w:ascii="Times New Roman" w:hAnsi="Times New Roman" w:cs="Times New Roman"/>
          <w:i/>
          <w:sz w:val="20"/>
          <w:szCs w:val="20"/>
        </w:rPr>
        <w:t>Wilko</w:t>
      </w:r>
      <w:proofErr w:type="spellEnd"/>
      <w:r w:rsidRPr="00617A78">
        <w:rPr>
          <w:rFonts w:ascii="Times New Roman" w:hAnsi="Times New Roman" w:cs="Times New Roman"/>
          <w:i/>
          <w:sz w:val="20"/>
          <w:szCs w:val="20"/>
        </w:rPr>
        <w:t xml:space="preserve"> v. Swan</w:t>
      </w:r>
      <w:r w:rsidRPr="00617A78">
        <w:rPr>
          <w:rFonts w:ascii="Times New Roman" w:hAnsi="Times New Roman" w:cs="Times New Roman"/>
          <w:sz w:val="20"/>
          <w:szCs w:val="20"/>
        </w:rPr>
        <w:t>….);</w:t>
      </w:r>
      <w:r w:rsidRPr="00617A78">
        <w:rPr>
          <w:rFonts w:ascii="Times New Roman" w:hAnsi="Times New Roman" w:cs="Times New Roman"/>
          <w:i/>
          <w:sz w:val="20"/>
          <w:szCs w:val="20"/>
        </w:rPr>
        <w:t xml:space="preserve"> </w:t>
      </w:r>
      <w:r w:rsidRPr="00617A78">
        <w:rPr>
          <w:rFonts w:ascii="Times New Roman" w:hAnsi="Times New Roman" w:cs="Times New Roman"/>
          <w:sz w:val="20"/>
          <w:szCs w:val="20"/>
        </w:rPr>
        <w:t xml:space="preserve">Banks &amp; Stiff,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_Ref355704940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9</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 at 15 (Manifest disregard for the law “originated in the dictum of [</w:t>
      </w:r>
      <w:proofErr w:type="spellStart"/>
      <w:r w:rsidRPr="00617A78">
        <w:rPr>
          <w:rFonts w:ascii="Times New Roman" w:hAnsi="Times New Roman" w:cs="Times New Roman"/>
          <w:i/>
          <w:sz w:val="20"/>
          <w:szCs w:val="20"/>
        </w:rPr>
        <w:t>Wilko</w:t>
      </w:r>
      <w:proofErr w:type="spellEnd"/>
      <w:r w:rsidRPr="00617A78">
        <w:rPr>
          <w:rFonts w:ascii="Times New Roman" w:hAnsi="Times New Roman" w:cs="Times New Roman"/>
          <w:i/>
          <w:sz w:val="20"/>
          <w:szCs w:val="20"/>
        </w:rPr>
        <w:t xml:space="preserve"> v. Swan</w:t>
      </w:r>
      <w:r w:rsidRPr="00617A78">
        <w:rPr>
          <w:rFonts w:ascii="Times New Roman" w:hAnsi="Times New Roman" w:cs="Times New Roman"/>
          <w:sz w:val="20"/>
          <w:szCs w:val="20"/>
        </w:rPr>
        <w:t xml:space="preserve">]….”); Michael A. </w:t>
      </w:r>
      <w:proofErr w:type="spellStart"/>
      <w:r w:rsidRPr="00617A78">
        <w:rPr>
          <w:rFonts w:ascii="Times New Roman" w:hAnsi="Times New Roman" w:cs="Times New Roman"/>
          <w:sz w:val="20"/>
          <w:szCs w:val="20"/>
        </w:rPr>
        <w:t>Scodro</w:t>
      </w:r>
      <w:proofErr w:type="spellEnd"/>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Deterrence and Implied Limits on Arbitral Power</w:t>
      </w:r>
      <w:r w:rsidRPr="00617A78">
        <w:rPr>
          <w:rFonts w:ascii="Times New Roman" w:hAnsi="Times New Roman" w:cs="Times New Roman"/>
          <w:sz w:val="20"/>
          <w:szCs w:val="20"/>
        </w:rPr>
        <w:t xml:space="preserve">, 55 Duck L.J. 547, 566-67 (2005) (“The ‘manifest disregard’ locution originated in the Supreme Court’s decision in </w:t>
      </w:r>
      <w:proofErr w:type="spellStart"/>
      <w:r w:rsidRPr="00617A78">
        <w:rPr>
          <w:rFonts w:ascii="Times New Roman" w:hAnsi="Times New Roman" w:cs="Times New Roman"/>
          <w:i/>
          <w:sz w:val="20"/>
          <w:szCs w:val="20"/>
        </w:rPr>
        <w:t>Wilko</w:t>
      </w:r>
      <w:proofErr w:type="spellEnd"/>
      <w:r w:rsidRPr="00617A78">
        <w:rPr>
          <w:rFonts w:ascii="Times New Roman" w:hAnsi="Times New Roman" w:cs="Times New Roman"/>
          <w:sz w:val="20"/>
          <w:szCs w:val="20"/>
        </w:rPr>
        <w:t xml:space="preserve">….”). Gross,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_Ref355705266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10</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 xml:space="preserve">, at 236 (“The ‘manifest disregard’ standard originated from a statement by the Supreme Court in </w:t>
      </w:r>
      <w:proofErr w:type="spellStart"/>
      <w:r>
        <w:rPr>
          <w:rFonts w:ascii="Times New Roman" w:hAnsi="Times New Roman" w:cs="Times New Roman"/>
          <w:i/>
          <w:sz w:val="20"/>
          <w:szCs w:val="20"/>
        </w:rPr>
        <w:t>Wi</w:t>
      </w:r>
      <w:r w:rsidRPr="00617A78">
        <w:rPr>
          <w:rFonts w:ascii="Times New Roman" w:hAnsi="Times New Roman" w:cs="Times New Roman"/>
          <w:i/>
          <w:sz w:val="20"/>
          <w:szCs w:val="20"/>
        </w:rPr>
        <w:t>lko</w:t>
      </w:r>
      <w:proofErr w:type="spellEnd"/>
      <w:r w:rsidRPr="00617A78">
        <w:rPr>
          <w:rFonts w:ascii="Times New Roman" w:hAnsi="Times New Roman" w:cs="Times New Roman"/>
          <w:i/>
          <w:sz w:val="20"/>
          <w:szCs w:val="20"/>
        </w:rPr>
        <w:t xml:space="preserve"> v. Swan</w:t>
      </w:r>
      <w:r w:rsidRPr="00617A78">
        <w:rPr>
          <w:rFonts w:ascii="Times New Roman" w:hAnsi="Times New Roman" w:cs="Times New Roman"/>
          <w:sz w:val="20"/>
          <w:szCs w:val="20"/>
        </w:rPr>
        <w:t xml:space="preserve">…”); Stephan J. Ware &amp; Marisa V. </w:t>
      </w:r>
      <w:proofErr w:type="spellStart"/>
      <w:r w:rsidRPr="00617A78">
        <w:rPr>
          <w:rFonts w:ascii="Times New Roman" w:hAnsi="Times New Roman" w:cs="Times New Roman"/>
          <w:sz w:val="20"/>
          <w:szCs w:val="20"/>
        </w:rPr>
        <w:t>Maleck</w:t>
      </w:r>
      <w:proofErr w:type="spellEnd"/>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Authorities Split After the Supreme Court’s Hall Street Decision: What is Left of the Manifest Disregard Doctrine?</w:t>
      </w:r>
      <w:r w:rsidRPr="00617A78">
        <w:rPr>
          <w:rFonts w:ascii="Times New Roman" w:hAnsi="Times New Roman" w:cs="Times New Roman"/>
          <w:sz w:val="20"/>
          <w:szCs w:val="20"/>
        </w:rPr>
        <w:t xml:space="preserve">, </w:t>
      </w:r>
      <w:r w:rsidRPr="00617A78">
        <w:rPr>
          <w:rFonts w:ascii="Times New Roman" w:hAnsi="Times New Roman" w:cs="Times New Roman"/>
          <w:smallCaps/>
          <w:sz w:val="20"/>
          <w:szCs w:val="20"/>
        </w:rPr>
        <w:t xml:space="preserve">The Federalist Society, </w:t>
      </w:r>
      <w:r w:rsidRPr="00617A78">
        <w:rPr>
          <w:rFonts w:ascii="Times New Roman" w:hAnsi="Times New Roman" w:cs="Times New Roman"/>
          <w:sz w:val="20"/>
          <w:szCs w:val="20"/>
        </w:rPr>
        <w:t xml:space="preserve"> at 119 (Mar. 31, 2010), </w:t>
      </w:r>
      <w:r w:rsidRPr="00617A78">
        <w:rPr>
          <w:rFonts w:ascii="Times New Roman" w:hAnsi="Times New Roman" w:cs="Times New Roman"/>
          <w:i/>
          <w:sz w:val="20"/>
          <w:szCs w:val="20"/>
        </w:rPr>
        <w:t>available at</w:t>
      </w:r>
      <w:r w:rsidRPr="00617A78">
        <w:rPr>
          <w:rFonts w:ascii="Times New Roman" w:hAnsi="Times New Roman" w:cs="Times New Roman"/>
          <w:sz w:val="20"/>
          <w:szCs w:val="20"/>
        </w:rPr>
        <w:t>:</w:t>
      </w:r>
      <w:r w:rsidRPr="00617A78">
        <w:rPr>
          <w:rFonts w:ascii="Times New Roman" w:hAnsi="Times New Roman" w:cs="Times New Roman"/>
          <w:i/>
          <w:sz w:val="20"/>
          <w:szCs w:val="20"/>
        </w:rPr>
        <w:t xml:space="preserve"> </w:t>
      </w:r>
      <w:r w:rsidRPr="00617A78">
        <w:rPr>
          <w:rFonts w:ascii="Times New Roman" w:hAnsi="Times New Roman" w:cs="Times New Roman"/>
          <w:sz w:val="20"/>
          <w:szCs w:val="20"/>
        </w:rPr>
        <w:t xml:space="preserve">http://www.fed-soc.org/publications/detail/authorities-split-after-the-supreme-courts-hall-street-decision-what-is-left-of-the-manifest-disregard-doctrine (“The manifest disregard doctrine is traced to the Supreme Court’s decision in </w:t>
      </w:r>
      <w:proofErr w:type="spellStart"/>
      <w:r w:rsidRPr="00617A78">
        <w:rPr>
          <w:rFonts w:ascii="Times New Roman" w:hAnsi="Times New Roman" w:cs="Times New Roman"/>
          <w:i/>
          <w:sz w:val="20"/>
          <w:szCs w:val="20"/>
        </w:rPr>
        <w:t>Wilko</w:t>
      </w:r>
      <w:proofErr w:type="spellEnd"/>
      <w:r w:rsidRPr="00617A78">
        <w:rPr>
          <w:rFonts w:ascii="Times New Roman" w:hAnsi="Times New Roman" w:cs="Times New Roman"/>
          <w:i/>
          <w:sz w:val="20"/>
          <w:szCs w:val="20"/>
        </w:rPr>
        <w:t xml:space="preserve"> v. Swan</w:t>
      </w:r>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See also</w:t>
      </w:r>
      <w:r w:rsidRPr="00617A78">
        <w:rPr>
          <w:rFonts w:ascii="Times New Roman" w:hAnsi="Times New Roman" w:cs="Times New Roman"/>
          <w:sz w:val="20"/>
          <w:szCs w:val="20"/>
        </w:rPr>
        <w:t xml:space="preserve">, Adam </w:t>
      </w:r>
      <w:proofErr w:type="spellStart"/>
      <w:r w:rsidRPr="00617A78">
        <w:rPr>
          <w:rFonts w:ascii="Times New Roman" w:hAnsi="Times New Roman" w:cs="Times New Roman"/>
          <w:sz w:val="20"/>
          <w:szCs w:val="20"/>
        </w:rPr>
        <w:t>Miliam</w:t>
      </w:r>
      <w:proofErr w:type="spellEnd"/>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A House Built on Sand: Vacating Arbitration Awards For Manifest Disregard of the Law</w:t>
      </w:r>
      <w:r w:rsidRPr="00617A78">
        <w:rPr>
          <w:rFonts w:ascii="Times New Roman" w:hAnsi="Times New Roman" w:cs="Times New Roman"/>
          <w:sz w:val="20"/>
          <w:szCs w:val="20"/>
        </w:rPr>
        <w:t xml:space="preserve">, 29 </w:t>
      </w:r>
      <w:proofErr w:type="spellStart"/>
      <w:r w:rsidRPr="00617A78">
        <w:rPr>
          <w:rFonts w:ascii="Times New Roman" w:hAnsi="Times New Roman" w:cs="Times New Roman"/>
          <w:sz w:val="20"/>
          <w:szCs w:val="20"/>
        </w:rPr>
        <w:t>Cumb</w:t>
      </w:r>
      <w:proofErr w:type="spellEnd"/>
      <w:r w:rsidRPr="00617A78">
        <w:rPr>
          <w:rFonts w:ascii="Times New Roman" w:hAnsi="Times New Roman" w:cs="Times New Roman"/>
          <w:sz w:val="20"/>
          <w:szCs w:val="20"/>
        </w:rPr>
        <w:t>. L. Rev. 705, 708 (1998-1999) (“circuits derive the manifest disregard of the law standard either from the dicta in [</w:t>
      </w:r>
      <w:proofErr w:type="spellStart"/>
      <w:r w:rsidRPr="00617A78">
        <w:rPr>
          <w:rFonts w:ascii="Times New Roman" w:hAnsi="Times New Roman" w:cs="Times New Roman"/>
          <w:i/>
          <w:sz w:val="20"/>
          <w:szCs w:val="20"/>
        </w:rPr>
        <w:t>Wilko</w:t>
      </w:r>
      <w:proofErr w:type="spellEnd"/>
      <w:r w:rsidRPr="00617A78">
        <w:rPr>
          <w:rFonts w:ascii="Times New Roman" w:hAnsi="Times New Roman" w:cs="Times New Roman"/>
          <w:i/>
          <w:sz w:val="20"/>
          <w:szCs w:val="20"/>
        </w:rPr>
        <w:t xml:space="preserve"> v. Swan</w:t>
      </w:r>
      <w:r w:rsidRPr="00617A78">
        <w:rPr>
          <w:rFonts w:ascii="Times New Roman" w:hAnsi="Times New Roman" w:cs="Times New Roman"/>
          <w:sz w:val="20"/>
          <w:szCs w:val="20"/>
        </w:rPr>
        <w:t>] or as an implied defense arising under section 10(a</w:t>
      </w:r>
      <w:proofErr w:type="gramStart"/>
      <w:r w:rsidRPr="00617A78">
        <w:rPr>
          <w:rFonts w:ascii="Times New Roman" w:hAnsi="Times New Roman" w:cs="Times New Roman"/>
          <w:sz w:val="20"/>
          <w:szCs w:val="20"/>
        </w:rPr>
        <w:t>)(</w:t>
      </w:r>
      <w:proofErr w:type="gramEnd"/>
      <w:r w:rsidRPr="00617A78">
        <w:rPr>
          <w:rFonts w:ascii="Times New Roman" w:hAnsi="Times New Roman" w:cs="Times New Roman"/>
          <w:sz w:val="20"/>
          <w:szCs w:val="20"/>
        </w:rPr>
        <w:t xml:space="preserve">4) of the FAA…”). </w:t>
      </w:r>
      <w:r w:rsidRPr="00617A78">
        <w:rPr>
          <w:rFonts w:ascii="Times New Roman" w:hAnsi="Times New Roman" w:cs="Times New Roman"/>
          <w:i/>
          <w:sz w:val="20"/>
          <w:szCs w:val="20"/>
        </w:rPr>
        <w:t>But see</w:t>
      </w:r>
      <w:r w:rsidRPr="00617A78">
        <w:rPr>
          <w:rFonts w:ascii="Times New Roman" w:hAnsi="Times New Roman" w:cs="Times New Roman"/>
          <w:sz w:val="20"/>
          <w:szCs w:val="20"/>
        </w:rPr>
        <w:t xml:space="preserve">, Michael H. </w:t>
      </w:r>
      <w:proofErr w:type="spellStart"/>
      <w:r w:rsidRPr="00617A78">
        <w:rPr>
          <w:rFonts w:ascii="Times New Roman" w:hAnsi="Times New Roman" w:cs="Times New Roman"/>
          <w:sz w:val="20"/>
          <w:szCs w:val="20"/>
        </w:rPr>
        <w:t>LeRoy</w:t>
      </w:r>
      <w:proofErr w:type="spellEnd"/>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Are Arbitrators Above The Law? The “Manifest Disregard of The Law” Standard</w:t>
      </w:r>
      <w:r w:rsidRPr="00617A78">
        <w:rPr>
          <w:rFonts w:ascii="Times New Roman" w:hAnsi="Times New Roman" w:cs="Times New Roman"/>
          <w:sz w:val="20"/>
          <w:szCs w:val="20"/>
        </w:rPr>
        <w:t xml:space="preserve">, 52 B.C. L. Rev. 137, 157 (2011) (“Dictum in </w:t>
      </w:r>
      <w:proofErr w:type="spellStart"/>
      <w:r w:rsidRPr="00617A78">
        <w:rPr>
          <w:rFonts w:ascii="Times New Roman" w:hAnsi="Times New Roman" w:cs="Times New Roman"/>
          <w:i/>
          <w:sz w:val="20"/>
          <w:szCs w:val="20"/>
        </w:rPr>
        <w:t>Wilko</w:t>
      </w:r>
      <w:proofErr w:type="spellEnd"/>
      <w:r w:rsidRPr="00617A78">
        <w:rPr>
          <w:rFonts w:ascii="Times New Roman" w:hAnsi="Times New Roman" w:cs="Times New Roman"/>
          <w:i/>
          <w:sz w:val="20"/>
          <w:szCs w:val="20"/>
        </w:rPr>
        <w:t xml:space="preserve"> </w:t>
      </w:r>
      <w:r w:rsidRPr="00617A78">
        <w:rPr>
          <w:rFonts w:ascii="Times New Roman" w:hAnsi="Times New Roman" w:cs="Times New Roman"/>
          <w:sz w:val="20"/>
          <w:szCs w:val="20"/>
        </w:rPr>
        <w:t xml:space="preserve">is mistakenly cited as a </w:t>
      </w:r>
      <w:proofErr w:type="spellStart"/>
      <w:r w:rsidRPr="00617A78">
        <w:rPr>
          <w:rFonts w:ascii="Times New Roman" w:hAnsi="Times New Roman" w:cs="Times New Roman"/>
          <w:sz w:val="20"/>
          <w:szCs w:val="20"/>
        </w:rPr>
        <w:t>souce</w:t>
      </w:r>
      <w:proofErr w:type="spellEnd"/>
      <w:r w:rsidRPr="00617A78">
        <w:rPr>
          <w:rFonts w:ascii="Times New Roman" w:hAnsi="Times New Roman" w:cs="Times New Roman"/>
          <w:sz w:val="20"/>
          <w:szCs w:val="20"/>
        </w:rPr>
        <w:t xml:space="preserve"> of the manifest disregard standard. The Court in </w:t>
      </w:r>
      <w:proofErr w:type="spellStart"/>
      <w:r w:rsidRPr="00617A78">
        <w:rPr>
          <w:rFonts w:ascii="Times New Roman" w:hAnsi="Times New Roman" w:cs="Times New Roman"/>
          <w:i/>
          <w:sz w:val="20"/>
          <w:szCs w:val="20"/>
        </w:rPr>
        <w:t>Wilko</w:t>
      </w:r>
      <w:proofErr w:type="spellEnd"/>
      <w:r w:rsidRPr="00617A78">
        <w:rPr>
          <w:rFonts w:ascii="Times New Roman" w:hAnsi="Times New Roman" w:cs="Times New Roman"/>
          <w:sz w:val="20"/>
          <w:szCs w:val="20"/>
        </w:rPr>
        <w:t xml:space="preserve"> did not adopt this standard but simply discussed it as a hypothetical.”).</w:t>
      </w:r>
    </w:p>
  </w:footnote>
  <w:footnote w:id="15">
    <w:p w14:paraId="644F0068" w14:textId="77777777" w:rsidR="00AD3492" w:rsidRPr="00617A78" w:rsidRDefault="00AD3492" w:rsidP="007C587F">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proofErr w:type="spellStart"/>
      <w:r w:rsidRPr="00617A78">
        <w:rPr>
          <w:rFonts w:ascii="Times New Roman" w:hAnsi="Times New Roman" w:cs="Times New Roman"/>
          <w:i/>
          <w:sz w:val="20"/>
          <w:szCs w:val="20"/>
        </w:rPr>
        <w:t>Wilko</w:t>
      </w:r>
      <w:proofErr w:type="spellEnd"/>
      <w:r w:rsidRPr="00617A78">
        <w:rPr>
          <w:rFonts w:ascii="Times New Roman" w:hAnsi="Times New Roman" w:cs="Times New Roman"/>
          <w:i/>
          <w:sz w:val="20"/>
          <w:szCs w:val="20"/>
        </w:rPr>
        <w:t xml:space="preserve"> v. Swan</w:t>
      </w:r>
      <w:r w:rsidRPr="00617A78">
        <w:rPr>
          <w:rFonts w:ascii="Times New Roman" w:hAnsi="Times New Roman" w:cs="Times New Roman"/>
          <w:sz w:val="20"/>
          <w:szCs w:val="20"/>
        </w:rPr>
        <w:t>, 346 U.S. 427, 436-37 (1953) (</w:t>
      </w:r>
      <w:r w:rsidRPr="00617A78">
        <w:rPr>
          <w:rFonts w:ascii="Times New Roman" w:hAnsi="Times New Roman" w:cs="Times New Roman"/>
          <w:i/>
          <w:sz w:val="20"/>
          <w:szCs w:val="20"/>
        </w:rPr>
        <w:t xml:space="preserve">overruled on other grounds in Rodriguez de </w:t>
      </w:r>
      <w:proofErr w:type="spellStart"/>
      <w:r w:rsidRPr="00617A78">
        <w:rPr>
          <w:rFonts w:ascii="Times New Roman" w:hAnsi="Times New Roman" w:cs="Times New Roman"/>
          <w:i/>
          <w:sz w:val="20"/>
          <w:szCs w:val="20"/>
        </w:rPr>
        <w:t>Quijas</w:t>
      </w:r>
      <w:proofErr w:type="spellEnd"/>
      <w:r w:rsidRPr="00617A78">
        <w:rPr>
          <w:rFonts w:ascii="Times New Roman" w:hAnsi="Times New Roman" w:cs="Times New Roman"/>
          <w:i/>
          <w:sz w:val="20"/>
          <w:szCs w:val="20"/>
        </w:rPr>
        <w:t xml:space="preserve"> v. Shearson/American Express</w:t>
      </w:r>
      <w:r w:rsidRPr="00617A78">
        <w:rPr>
          <w:rFonts w:ascii="Times New Roman" w:hAnsi="Times New Roman" w:cs="Times New Roman"/>
          <w:sz w:val="20"/>
          <w:szCs w:val="20"/>
        </w:rPr>
        <w:t xml:space="preserve">, 490 U.S. 477 (1989)). </w:t>
      </w:r>
    </w:p>
  </w:footnote>
  <w:footnote w:id="16">
    <w:p w14:paraId="43DFC294" w14:textId="0472F6FD" w:rsidR="00AD3492" w:rsidRPr="00617A78" w:rsidRDefault="00AD3492" w:rsidP="00010AAF">
      <w:pPr>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Ashley K. </w:t>
      </w:r>
      <w:proofErr w:type="spellStart"/>
      <w:r w:rsidRPr="00617A78">
        <w:rPr>
          <w:rFonts w:ascii="Times New Roman" w:hAnsi="Times New Roman" w:cs="Times New Roman"/>
          <w:sz w:val="20"/>
          <w:szCs w:val="20"/>
        </w:rPr>
        <w:t>Sundquist</w:t>
      </w:r>
      <w:proofErr w:type="spellEnd"/>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 xml:space="preserve">Do Judicially Created Grounds for Vacating Arbitral Awards Still Exist? Why Manifest Disregard of the Law and Public Policy Exceptions Should be Considered under </w:t>
      </w:r>
      <w:proofErr w:type="spellStart"/>
      <w:r w:rsidRPr="00617A78">
        <w:rPr>
          <w:rFonts w:ascii="Times New Roman" w:hAnsi="Times New Roman" w:cs="Times New Roman"/>
          <w:i/>
          <w:sz w:val="20"/>
          <w:szCs w:val="20"/>
        </w:rPr>
        <w:t>Vacatur</w:t>
      </w:r>
      <w:proofErr w:type="spellEnd"/>
      <w:r w:rsidRPr="00617A78">
        <w:rPr>
          <w:rFonts w:ascii="Times New Roman" w:hAnsi="Times New Roman" w:cs="Times New Roman"/>
          <w:sz w:val="20"/>
          <w:szCs w:val="20"/>
        </w:rPr>
        <w:t xml:space="preserve">, 2015 J. Disp. </w:t>
      </w:r>
      <w:proofErr w:type="spellStart"/>
      <w:r w:rsidRPr="00617A78">
        <w:rPr>
          <w:rFonts w:ascii="Times New Roman" w:hAnsi="Times New Roman" w:cs="Times New Roman"/>
          <w:sz w:val="20"/>
          <w:szCs w:val="20"/>
        </w:rPr>
        <w:t>Resol</w:t>
      </w:r>
      <w:proofErr w:type="spellEnd"/>
      <w:r w:rsidRPr="00617A78">
        <w:rPr>
          <w:rFonts w:ascii="Times New Roman" w:hAnsi="Times New Roman" w:cs="Times New Roman"/>
          <w:sz w:val="20"/>
          <w:szCs w:val="20"/>
        </w:rPr>
        <w:t xml:space="preserve">. 407, 411 (2015); </w:t>
      </w:r>
      <w:proofErr w:type="spellStart"/>
      <w:r w:rsidRPr="00617A78">
        <w:rPr>
          <w:rFonts w:ascii="Times New Roman" w:hAnsi="Times New Roman" w:cs="Times New Roman"/>
          <w:sz w:val="20"/>
          <w:szCs w:val="20"/>
        </w:rPr>
        <w:t>LeRoy</w:t>
      </w:r>
      <w:proofErr w:type="spellEnd"/>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_Ref355705725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14</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 at 158 (“In this advisory statement” the Court “said that a judge may review [</w:t>
      </w:r>
      <w:proofErr w:type="gramStart"/>
      <w:r w:rsidRPr="00617A78">
        <w:rPr>
          <w:rFonts w:ascii="Times New Roman" w:hAnsi="Times New Roman" w:cs="Times New Roman"/>
          <w:sz w:val="20"/>
          <w:szCs w:val="20"/>
        </w:rPr>
        <w:t>a</w:t>
      </w:r>
      <w:proofErr w:type="gramEnd"/>
      <w:r w:rsidRPr="00617A78">
        <w:rPr>
          <w:rFonts w:ascii="Times New Roman" w:hAnsi="Times New Roman" w:cs="Times New Roman"/>
          <w:sz w:val="20"/>
          <w:szCs w:val="20"/>
        </w:rPr>
        <w:t xml:space="preserve"> arbitral award] if it manifestly disregards the law, but not if the judge disagrees with its legal interpretation.”). </w:t>
      </w:r>
    </w:p>
  </w:footnote>
  <w:footnote w:id="17">
    <w:p w14:paraId="63DC93F9" w14:textId="45F38275" w:rsidR="00AD3492" w:rsidRPr="00617A78" w:rsidRDefault="00AD3492" w:rsidP="00010AAF">
      <w:pPr>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Thomas V. Burch, </w:t>
      </w:r>
      <w:r w:rsidRPr="00617A78">
        <w:rPr>
          <w:rFonts w:ascii="Times New Roman" w:hAnsi="Times New Roman" w:cs="Times New Roman"/>
          <w:i/>
          <w:sz w:val="20"/>
          <w:szCs w:val="20"/>
        </w:rPr>
        <w:t>Manifest Disregard and the Imperfect Procedural Justice of Arbitration</w:t>
      </w:r>
      <w:r w:rsidRPr="00617A78">
        <w:rPr>
          <w:rFonts w:ascii="Times New Roman" w:hAnsi="Times New Roman" w:cs="Times New Roman"/>
          <w:sz w:val="20"/>
          <w:szCs w:val="20"/>
        </w:rPr>
        <w:t xml:space="preserve">, 59 U. Kan. L. Rev. 47, 61  (2010-2011). </w:t>
      </w:r>
      <w:r w:rsidRPr="00617A78">
        <w:rPr>
          <w:rFonts w:ascii="Times New Roman" w:hAnsi="Times New Roman" w:cs="Times New Roman"/>
          <w:i/>
          <w:sz w:val="20"/>
          <w:szCs w:val="20"/>
        </w:rPr>
        <w:t>See</w:t>
      </w:r>
      <w:r w:rsidRPr="00617A78">
        <w:rPr>
          <w:rFonts w:ascii="Times New Roman" w:hAnsi="Times New Roman" w:cs="Times New Roman"/>
          <w:sz w:val="20"/>
          <w:szCs w:val="20"/>
        </w:rPr>
        <w:t xml:space="preserve"> </w:t>
      </w:r>
      <w:proofErr w:type="spellStart"/>
      <w:r w:rsidRPr="00617A78">
        <w:rPr>
          <w:rFonts w:ascii="Times New Roman" w:hAnsi="Times New Roman" w:cs="Times New Roman"/>
          <w:sz w:val="20"/>
          <w:szCs w:val="20"/>
        </w:rPr>
        <w:t>LeRoy</w:t>
      </w:r>
      <w:proofErr w:type="spellEnd"/>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_Ref355705725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14</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 at 158 (the Court did not give any “further details on what manifest disregard of the law meant, and it gave no indication that it ever intended manifest disregard to constitute a new ground for vacating arbitration awards under the FAA.”).</w:t>
      </w:r>
    </w:p>
  </w:footnote>
  <w:footnote w:id="18">
    <w:p w14:paraId="202595F2" w14:textId="0F237B06" w:rsidR="00AD3492" w:rsidRPr="00617A78" w:rsidRDefault="00AD3492" w:rsidP="007C587F">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See</w:t>
      </w:r>
      <w:r w:rsidRPr="00617A78">
        <w:rPr>
          <w:rFonts w:ascii="Times New Roman" w:hAnsi="Times New Roman" w:cs="Times New Roman"/>
          <w:sz w:val="20"/>
          <w:szCs w:val="20"/>
        </w:rPr>
        <w:t xml:space="preserve"> Milam,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_Ref355705725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14</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 xml:space="preserve">, at 708 (“[N]o secure basis exist upon which courts can apply the standard, thus leading to arbitrary and inconsistent interpretations and application among the circuits.”). </w:t>
      </w:r>
      <w:r w:rsidRPr="00617A78">
        <w:rPr>
          <w:rFonts w:ascii="Times New Roman" w:hAnsi="Times New Roman" w:cs="Times New Roman"/>
          <w:i/>
          <w:sz w:val="20"/>
          <w:szCs w:val="20"/>
        </w:rPr>
        <w:t xml:space="preserve">See also, </w:t>
      </w:r>
      <w:proofErr w:type="spellStart"/>
      <w:r w:rsidRPr="00617A78">
        <w:rPr>
          <w:rFonts w:ascii="Times New Roman" w:hAnsi="Times New Roman" w:cs="Times New Roman"/>
          <w:sz w:val="20"/>
          <w:szCs w:val="20"/>
        </w:rPr>
        <w:t>Scodro</w:t>
      </w:r>
      <w:proofErr w:type="spellEnd"/>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_Ref355705725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14</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 xml:space="preserve">, at 569 (“Without statutory or other grounding aside from </w:t>
      </w:r>
      <w:proofErr w:type="spellStart"/>
      <w:r w:rsidRPr="00617A78">
        <w:rPr>
          <w:rFonts w:ascii="Times New Roman" w:hAnsi="Times New Roman" w:cs="Times New Roman"/>
          <w:sz w:val="20"/>
          <w:szCs w:val="20"/>
        </w:rPr>
        <w:t>conclusionary</w:t>
      </w:r>
      <w:proofErr w:type="spellEnd"/>
      <w:r w:rsidRPr="00617A78">
        <w:rPr>
          <w:rFonts w:ascii="Times New Roman" w:hAnsi="Times New Roman" w:cs="Times New Roman"/>
          <w:sz w:val="20"/>
          <w:szCs w:val="20"/>
        </w:rPr>
        <w:t xml:space="preserve"> dicta in </w:t>
      </w:r>
      <w:proofErr w:type="spellStart"/>
      <w:r w:rsidRPr="00617A78">
        <w:rPr>
          <w:rFonts w:ascii="Times New Roman" w:hAnsi="Times New Roman" w:cs="Times New Roman"/>
          <w:i/>
          <w:sz w:val="20"/>
          <w:szCs w:val="20"/>
        </w:rPr>
        <w:t>Wilko</w:t>
      </w:r>
      <w:proofErr w:type="spellEnd"/>
      <w:r w:rsidRPr="00617A78">
        <w:rPr>
          <w:rFonts w:ascii="Times New Roman" w:hAnsi="Times New Roman" w:cs="Times New Roman"/>
          <w:sz w:val="20"/>
          <w:szCs w:val="20"/>
        </w:rPr>
        <w:t xml:space="preserve">, however, defining ‘manifest disregard’ has been a slippery task.”). </w:t>
      </w:r>
    </w:p>
  </w:footnote>
  <w:footnote w:id="19">
    <w:p w14:paraId="5CF61A43" w14:textId="30701D8C" w:rsidR="00AD3492" w:rsidRPr="00617A78" w:rsidRDefault="00AD3492" w:rsidP="00010AAF">
      <w:pPr>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Kenneth R. Davis, </w:t>
      </w:r>
      <w:r w:rsidRPr="00617A78">
        <w:rPr>
          <w:rFonts w:ascii="Times New Roman" w:hAnsi="Times New Roman" w:cs="Times New Roman"/>
          <w:i/>
          <w:sz w:val="20"/>
          <w:szCs w:val="20"/>
        </w:rPr>
        <w:t>The End of an Error: Replacing “Manifest Disregard” with a New Framework for Reviewing Arbitration Awards</w:t>
      </w:r>
      <w:r w:rsidRPr="00617A78">
        <w:rPr>
          <w:rFonts w:ascii="Times New Roman" w:hAnsi="Times New Roman" w:cs="Times New Roman"/>
          <w:sz w:val="20"/>
          <w:szCs w:val="20"/>
        </w:rPr>
        <w:t xml:space="preserve">, 60 </w:t>
      </w:r>
      <w:proofErr w:type="spellStart"/>
      <w:r w:rsidRPr="00617A78">
        <w:rPr>
          <w:rFonts w:ascii="Times New Roman" w:hAnsi="Times New Roman" w:cs="Times New Roman"/>
          <w:sz w:val="20"/>
          <w:szCs w:val="20"/>
        </w:rPr>
        <w:t>Clev</w:t>
      </w:r>
      <w:proofErr w:type="spellEnd"/>
      <w:r w:rsidRPr="00617A78">
        <w:rPr>
          <w:rFonts w:ascii="Times New Roman" w:hAnsi="Times New Roman" w:cs="Times New Roman"/>
          <w:sz w:val="20"/>
          <w:szCs w:val="20"/>
        </w:rPr>
        <w:t xml:space="preserve">. St. L. Rev. 87, 92 (2012-2013). </w:t>
      </w:r>
    </w:p>
  </w:footnote>
  <w:footnote w:id="20">
    <w:p w14:paraId="685A62C4" w14:textId="03ABA5BC" w:rsidR="00AD3492" w:rsidRPr="00617A78" w:rsidRDefault="00AD3492" w:rsidP="007C587F">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Davis,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_Ref355706240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19</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 xml:space="preserve">, at 92. </w:t>
      </w:r>
    </w:p>
  </w:footnote>
  <w:footnote w:id="21">
    <w:p w14:paraId="6E8BDEA7" w14:textId="086B02D3" w:rsidR="00AD3492" w:rsidRPr="00617A78" w:rsidRDefault="00AD3492" w:rsidP="007C587F">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 xml:space="preserve">See </w:t>
      </w:r>
      <w:proofErr w:type="spellStart"/>
      <w:r w:rsidRPr="00617A78">
        <w:rPr>
          <w:rFonts w:ascii="Times New Roman" w:hAnsi="Times New Roman" w:cs="Times New Roman"/>
          <w:sz w:val="20"/>
          <w:szCs w:val="20"/>
        </w:rPr>
        <w:t>Carbonneau</w:t>
      </w:r>
      <w:proofErr w:type="spellEnd"/>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_Ref355704940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9</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 at 604 (“The [</w:t>
      </w:r>
      <w:proofErr w:type="spellStart"/>
      <w:r w:rsidRPr="00617A78">
        <w:rPr>
          <w:rFonts w:ascii="Times New Roman" w:hAnsi="Times New Roman" w:cs="Times New Roman"/>
          <w:i/>
          <w:sz w:val="20"/>
          <w:szCs w:val="20"/>
        </w:rPr>
        <w:t>Wilko</w:t>
      </w:r>
      <w:proofErr w:type="spellEnd"/>
      <w:r w:rsidRPr="00617A78">
        <w:rPr>
          <w:rFonts w:ascii="Times New Roman" w:hAnsi="Times New Roman" w:cs="Times New Roman"/>
          <w:sz w:val="20"/>
          <w:szCs w:val="20"/>
        </w:rPr>
        <w:t>] opinion make</w:t>
      </w:r>
      <w:r>
        <w:rPr>
          <w:rFonts w:ascii="Times New Roman" w:hAnsi="Times New Roman" w:cs="Times New Roman"/>
          <w:sz w:val="20"/>
          <w:szCs w:val="20"/>
        </w:rPr>
        <w:t>s</w:t>
      </w:r>
      <w:r w:rsidRPr="00617A78">
        <w:rPr>
          <w:rFonts w:ascii="Times New Roman" w:hAnsi="Times New Roman" w:cs="Times New Roman"/>
          <w:sz w:val="20"/>
          <w:szCs w:val="20"/>
        </w:rPr>
        <w:t xml:space="preserve"> only an incidental reference to [manifest disregard], possible by pure happenstance.”)</w:t>
      </w:r>
      <w:r>
        <w:rPr>
          <w:rFonts w:ascii="Times New Roman" w:hAnsi="Times New Roman" w:cs="Times New Roman"/>
          <w:sz w:val="20"/>
          <w:szCs w:val="20"/>
        </w:rPr>
        <w:t>.</w:t>
      </w:r>
    </w:p>
  </w:footnote>
  <w:footnote w:id="22">
    <w:p w14:paraId="06E9AAA0" w14:textId="65E68A76" w:rsidR="00AD3492" w:rsidRPr="00617A78" w:rsidRDefault="00AD3492" w:rsidP="007C587F">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Davis,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_Ref355706240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19</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 xml:space="preserve">, at 94. </w:t>
      </w:r>
      <w:r w:rsidRPr="00617A78">
        <w:rPr>
          <w:rFonts w:ascii="Times New Roman" w:hAnsi="Times New Roman" w:cs="Times New Roman"/>
          <w:i/>
          <w:sz w:val="20"/>
          <w:szCs w:val="20"/>
        </w:rPr>
        <w:t xml:space="preserve">See </w:t>
      </w:r>
      <w:proofErr w:type="spellStart"/>
      <w:r w:rsidRPr="00617A78">
        <w:rPr>
          <w:rFonts w:ascii="Times New Roman" w:hAnsi="Times New Roman" w:cs="Times New Roman"/>
          <w:sz w:val="20"/>
          <w:szCs w:val="20"/>
        </w:rPr>
        <w:t>Carbonneau</w:t>
      </w:r>
      <w:proofErr w:type="spellEnd"/>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_Ref355704940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9</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 xml:space="preserve">, at 604 (Manifest disregard…actually has little to do with </w:t>
      </w:r>
      <w:proofErr w:type="spellStart"/>
      <w:r w:rsidRPr="00617A78">
        <w:rPr>
          <w:rFonts w:ascii="Times New Roman" w:hAnsi="Times New Roman" w:cs="Times New Roman"/>
          <w:sz w:val="20"/>
          <w:szCs w:val="20"/>
        </w:rPr>
        <w:t>Wilko</w:t>
      </w:r>
      <w:proofErr w:type="spellEnd"/>
      <w:r w:rsidRPr="00617A78">
        <w:rPr>
          <w:rFonts w:ascii="Times New Roman" w:hAnsi="Times New Roman" w:cs="Times New Roman"/>
          <w:sz w:val="20"/>
          <w:szCs w:val="20"/>
        </w:rPr>
        <w:t xml:space="preserve">.”). </w:t>
      </w:r>
    </w:p>
  </w:footnote>
  <w:footnote w:id="23">
    <w:p w14:paraId="4D437CA3" w14:textId="6840EA56" w:rsidR="00AD3492" w:rsidRPr="00617A78" w:rsidRDefault="00AD3492" w:rsidP="007C587F">
      <w:pPr>
        <w:widowControl w:val="0"/>
        <w:autoSpaceDE w:val="0"/>
        <w:autoSpaceDN w:val="0"/>
        <w:adjustRightInd w:val="0"/>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 xml:space="preserve">Citigroup Global </w:t>
      </w:r>
      <w:proofErr w:type="spellStart"/>
      <w:r w:rsidRPr="00617A78">
        <w:rPr>
          <w:rFonts w:ascii="Times New Roman" w:hAnsi="Times New Roman" w:cs="Times New Roman"/>
          <w:i/>
          <w:sz w:val="20"/>
          <w:szCs w:val="20"/>
        </w:rPr>
        <w:t>Mkts</w:t>
      </w:r>
      <w:proofErr w:type="spellEnd"/>
      <w:r w:rsidRPr="00617A78">
        <w:rPr>
          <w:rFonts w:ascii="Times New Roman" w:hAnsi="Times New Roman" w:cs="Times New Roman"/>
          <w:i/>
          <w:sz w:val="20"/>
          <w:szCs w:val="20"/>
        </w:rPr>
        <w:t>. Inc. v. Bacon</w:t>
      </w:r>
      <w:r w:rsidRPr="00617A78">
        <w:rPr>
          <w:rFonts w:ascii="Times New Roman" w:hAnsi="Times New Roman" w:cs="Times New Roman"/>
          <w:sz w:val="20"/>
          <w:szCs w:val="20"/>
        </w:rPr>
        <w:t xml:space="preserve">, 562 F.3d 349, 354 (5th Cir. 2009). </w:t>
      </w:r>
      <w:r w:rsidRPr="00617A78">
        <w:rPr>
          <w:rFonts w:ascii="Times New Roman" w:hAnsi="Times New Roman" w:cs="Times New Roman"/>
          <w:i/>
          <w:sz w:val="20"/>
          <w:szCs w:val="20"/>
        </w:rPr>
        <w:t xml:space="preserve">See San Marine </w:t>
      </w:r>
      <w:proofErr w:type="spellStart"/>
      <w:r w:rsidRPr="00617A78">
        <w:rPr>
          <w:rFonts w:ascii="Times New Roman" w:hAnsi="Times New Roman" w:cs="Times New Roman"/>
          <w:i/>
          <w:sz w:val="20"/>
          <w:szCs w:val="20"/>
        </w:rPr>
        <w:t>Compania</w:t>
      </w:r>
      <w:proofErr w:type="spellEnd"/>
      <w:r w:rsidRPr="00617A78">
        <w:rPr>
          <w:rFonts w:ascii="Times New Roman" w:hAnsi="Times New Roman" w:cs="Times New Roman"/>
          <w:i/>
          <w:sz w:val="20"/>
          <w:szCs w:val="20"/>
        </w:rPr>
        <w:t xml:space="preserve"> De </w:t>
      </w:r>
      <w:proofErr w:type="spellStart"/>
      <w:r w:rsidRPr="00617A78">
        <w:rPr>
          <w:rFonts w:ascii="Times New Roman" w:hAnsi="Times New Roman" w:cs="Times New Roman"/>
          <w:i/>
          <w:sz w:val="20"/>
          <w:szCs w:val="20"/>
        </w:rPr>
        <w:t>Navegacion</w:t>
      </w:r>
      <w:proofErr w:type="spellEnd"/>
      <w:r w:rsidRPr="00617A78">
        <w:rPr>
          <w:rFonts w:ascii="Times New Roman" w:hAnsi="Times New Roman" w:cs="Times New Roman"/>
          <w:i/>
          <w:sz w:val="20"/>
          <w:szCs w:val="20"/>
        </w:rPr>
        <w:t xml:space="preserve"> v. Saguenay Terminals Ltd</w:t>
      </w:r>
      <w:r w:rsidRPr="00617A78">
        <w:rPr>
          <w:rFonts w:ascii="Times New Roman" w:hAnsi="Times New Roman" w:cs="Times New Roman"/>
          <w:sz w:val="20"/>
          <w:szCs w:val="20"/>
        </w:rPr>
        <w:t xml:space="preserve">., 293 F.2d 796 (9th Cir. 1961) (“Frankly, the Supreme Court‘s use of the words ‘manifest disregard’ has caused us trouble here. Conceivably the words may have been used to indicate that whether an award may be set aside for errors of law would be a question of degree. Thus if the award was based upon a mistaken view of the law, but in their assumption of what the law was, the arbitrators had not gone too far afield, then, the award would stand; but if the error is an egregious one, such as no sensible layman would be guilty of, then the award could be set aside. Such a ‘degree of error’ test would, we think, be most difficult to apply. Results would likely vary from judge to judge. We believe this is not what the court had in mind when it spoke of ‘manifest disregard.’”). </w:t>
      </w:r>
      <w:r w:rsidRPr="00617A78">
        <w:rPr>
          <w:rFonts w:ascii="Times New Roman" w:hAnsi="Times New Roman" w:cs="Times New Roman"/>
          <w:i/>
          <w:sz w:val="20"/>
          <w:szCs w:val="20"/>
        </w:rPr>
        <w:t>See also</w:t>
      </w:r>
      <w:r w:rsidRPr="00617A78">
        <w:rPr>
          <w:rFonts w:ascii="Times New Roman" w:hAnsi="Times New Roman" w:cs="Times New Roman"/>
          <w:sz w:val="20"/>
          <w:szCs w:val="20"/>
        </w:rPr>
        <w:t xml:space="preserve">, Davis,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_Ref355706240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19</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 xml:space="preserve">, at 94. </w:t>
      </w:r>
    </w:p>
  </w:footnote>
  <w:footnote w:id="24">
    <w:p w14:paraId="3D3EF77E" w14:textId="10B6AD20" w:rsidR="00AD3492" w:rsidRPr="00617A78" w:rsidRDefault="00AD3492" w:rsidP="002B18E4">
      <w:pPr>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See e.g.</w:t>
      </w:r>
      <w:r w:rsidRPr="00617A78">
        <w:rPr>
          <w:rFonts w:ascii="Times New Roman" w:hAnsi="Times New Roman" w:cs="Times New Roman"/>
          <w:sz w:val="20"/>
          <w:szCs w:val="20"/>
        </w:rPr>
        <w:t>,</w:t>
      </w:r>
      <w:r w:rsidRPr="00617A78">
        <w:rPr>
          <w:rFonts w:ascii="Times New Roman" w:hAnsi="Times New Roman" w:cs="Times New Roman"/>
          <w:i/>
          <w:iCs/>
          <w:sz w:val="20"/>
          <w:szCs w:val="20"/>
        </w:rPr>
        <w:t xml:space="preserve"> </w:t>
      </w:r>
      <w:proofErr w:type="spellStart"/>
      <w:r w:rsidRPr="00617A78">
        <w:rPr>
          <w:rFonts w:ascii="Times New Roman" w:hAnsi="Times New Roman" w:cs="Times New Roman"/>
          <w:i/>
          <w:iCs/>
          <w:sz w:val="20"/>
          <w:szCs w:val="20"/>
        </w:rPr>
        <w:t>Advest</w:t>
      </w:r>
      <w:proofErr w:type="spellEnd"/>
      <w:r w:rsidRPr="00617A78">
        <w:rPr>
          <w:rFonts w:ascii="Times New Roman" w:hAnsi="Times New Roman" w:cs="Times New Roman"/>
          <w:i/>
          <w:iCs/>
          <w:sz w:val="20"/>
          <w:szCs w:val="20"/>
        </w:rPr>
        <w:t>, Inc. v McCarthy</w:t>
      </w:r>
      <w:r w:rsidRPr="00617A78">
        <w:rPr>
          <w:rFonts w:ascii="Times New Roman" w:hAnsi="Times New Roman" w:cs="Times New Roman"/>
          <w:sz w:val="20"/>
          <w:szCs w:val="20"/>
        </w:rPr>
        <w:t xml:space="preserve">, 914 F2d 6 (1st Cir. 1990); </w:t>
      </w:r>
      <w:r w:rsidRPr="00617A78">
        <w:rPr>
          <w:rFonts w:ascii="Times New Roman" w:hAnsi="Times New Roman" w:cs="Times New Roman"/>
          <w:i/>
          <w:iCs/>
          <w:sz w:val="20"/>
          <w:szCs w:val="20"/>
        </w:rPr>
        <w:t>Trafalgar Shipping Co. v Intl. Milling Co.</w:t>
      </w:r>
      <w:r w:rsidRPr="00617A78">
        <w:rPr>
          <w:rFonts w:ascii="Times New Roman" w:hAnsi="Times New Roman" w:cs="Times New Roman"/>
          <w:sz w:val="20"/>
          <w:szCs w:val="20"/>
        </w:rPr>
        <w:t xml:space="preserve">, 401 F2d 568 (2d Cir 1968); </w:t>
      </w:r>
      <w:r w:rsidRPr="00617A78">
        <w:rPr>
          <w:rFonts w:ascii="Times New Roman" w:hAnsi="Times New Roman" w:cs="Times New Roman"/>
          <w:i/>
          <w:iCs/>
          <w:sz w:val="20"/>
          <w:szCs w:val="20"/>
        </w:rPr>
        <w:t xml:space="preserve">Merrill Lynch, Pierce, </w:t>
      </w:r>
      <w:proofErr w:type="spellStart"/>
      <w:r w:rsidRPr="00617A78">
        <w:rPr>
          <w:rFonts w:ascii="Times New Roman" w:hAnsi="Times New Roman" w:cs="Times New Roman"/>
          <w:i/>
          <w:iCs/>
          <w:sz w:val="20"/>
          <w:szCs w:val="20"/>
        </w:rPr>
        <w:t>Fenner</w:t>
      </w:r>
      <w:proofErr w:type="spellEnd"/>
      <w:r w:rsidRPr="00617A78">
        <w:rPr>
          <w:rFonts w:ascii="Times New Roman" w:hAnsi="Times New Roman" w:cs="Times New Roman"/>
          <w:i/>
          <w:iCs/>
          <w:sz w:val="20"/>
          <w:szCs w:val="20"/>
        </w:rPr>
        <w:t xml:space="preserve"> &amp; Smith, Inc. v </w:t>
      </w:r>
      <w:proofErr w:type="spellStart"/>
      <w:r w:rsidRPr="00617A78">
        <w:rPr>
          <w:rFonts w:ascii="Times New Roman" w:hAnsi="Times New Roman" w:cs="Times New Roman"/>
          <w:i/>
          <w:iCs/>
          <w:sz w:val="20"/>
          <w:szCs w:val="20"/>
        </w:rPr>
        <w:t>Bobker</w:t>
      </w:r>
      <w:proofErr w:type="spellEnd"/>
      <w:r w:rsidRPr="00617A78">
        <w:rPr>
          <w:rFonts w:ascii="Times New Roman" w:hAnsi="Times New Roman" w:cs="Times New Roman"/>
          <w:sz w:val="20"/>
          <w:szCs w:val="20"/>
        </w:rPr>
        <w:t xml:space="preserve">, 808 F2d 930 (2d Cir 1986); </w:t>
      </w:r>
      <w:r w:rsidRPr="00617A78">
        <w:rPr>
          <w:rFonts w:ascii="Times New Roman" w:hAnsi="Times New Roman" w:cs="Times New Roman"/>
          <w:i/>
          <w:iCs/>
          <w:sz w:val="20"/>
          <w:szCs w:val="20"/>
        </w:rPr>
        <w:t xml:space="preserve">Ludwig </w:t>
      </w:r>
      <w:proofErr w:type="spellStart"/>
      <w:r w:rsidRPr="00617A78">
        <w:rPr>
          <w:rFonts w:ascii="Times New Roman" w:hAnsi="Times New Roman" w:cs="Times New Roman"/>
          <w:i/>
          <w:iCs/>
          <w:sz w:val="20"/>
          <w:szCs w:val="20"/>
        </w:rPr>
        <w:t>Honold</w:t>
      </w:r>
      <w:proofErr w:type="spellEnd"/>
      <w:r w:rsidRPr="00617A78">
        <w:rPr>
          <w:rFonts w:ascii="Times New Roman" w:hAnsi="Times New Roman" w:cs="Times New Roman"/>
          <w:i/>
          <w:iCs/>
          <w:sz w:val="20"/>
          <w:szCs w:val="20"/>
        </w:rPr>
        <w:t xml:space="preserve"> Mfg. Co. v Fletcher</w:t>
      </w:r>
      <w:r w:rsidRPr="00617A78">
        <w:rPr>
          <w:rFonts w:ascii="Times New Roman" w:hAnsi="Times New Roman" w:cs="Times New Roman"/>
          <w:sz w:val="20"/>
          <w:szCs w:val="20"/>
        </w:rPr>
        <w:t xml:space="preserve">, 405 F2d 1123 (3d Cir 1969); </w:t>
      </w:r>
      <w:r w:rsidRPr="00617A78">
        <w:rPr>
          <w:rFonts w:ascii="Times New Roman" w:hAnsi="Times New Roman" w:cs="Times New Roman"/>
          <w:i/>
          <w:iCs/>
          <w:sz w:val="20"/>
          <w:szCs w:val="20"/>
        </w:rPr>
        <w:t>Upshur Coals Corp. v United Mine Workers, Dist. 31</w:t>
      </w:r>
      <w:r w:rsidRPr="00617A78">
        <w:rPr>
          <w:rFonts w:ascii="Times New Roman" w:hAnsi="Times New Roman" w:cs="Times New Roman"/>
          <w:sz w:val="20"/>
          <w:szCs w:val="20"/>
        </w:rPr>
        <w:t xml:space="preserve">, 933 F2d 225 (4th Cir 1991); </w:t>
      </w:r>
      <w:r w:rsidRPr="00617A78">
        <w:rPr>
          <w:rFonts w:ascii="Times New Roman" w:hAnsi="Times New Roman" w:cs="Times New Roman"/>
          <w:i/>
          <w:iCs/>
          <w:sz w:val="20"/>
          <w:szCs w:val="20"/>
        </w:rPr>
        <w:t>Williams v Cigna Fin. Advisors</w:t>
      </w:r>
      <w:r w:rsidRPr="00617A78">
        <w:rPr>
          <w:rFonts w:ascii="Times New Roman" w:hAnsi="Times New Roman" w:cs="Times New Roman"/>
          <w:sz w:val="20"/>
          <w:szCs w:val="20"/>
        </w:rPr>
        <w:t xml:space="preserve">, 197 F3d 752 (5th Cir 1999); </w:t>
      </w:r>
      <w:r w:rsidRPr="00617A78">
        <w:rPr>
          <w:rFonts w:ascii="Times New Roman" w:hAnsi="Times New Roman" w:cs="Times New Roman"/>
          <w:i/>
          <w:iCs/>
          <w:sz w:val="20"/>
          <w:szCs w:val="20"/>
        </w:rPr>
        <w:t xml:space="preserve">Anaconda Co. v Intl. </w:t>
      </w:r>
      <w:proofErr w:type="spellStart"/>
      <w:r w:rsidRPr="00617A78">
        <w:rPr>
          <w:rFonts w:ascii="Times New Roman" w:hAnsi="Times New Roman" w:cs="Times New Roman"/>
          <w:i/>
          <w:iCs/>
          <w:sz w:val="20"/>
          <w:szCs w:val="20"/>
        </w:rPr>
        <w:t>Asso</w:t>
      </w:r>
      <w:proofErr w:type="spellEnd"/>
      <w:r w:rsidRPr="00617A78">
        <w:rPr>
          <w:rFonts w:ascii="Times New Roman" w:hAnsi="Times New Roman" w:cs="Times New Roman"/>
          <w:i/>
          <w:iCs/>
          <w:sz w:val="20"/>
          <w:szCs w:val="20"/>
        </w:rPr>
        <w:t xml:space="preserve">. </w:t>
      </w:r>
      <w:proofErr w:type="gramStart"/>
      <w:r w:rsidRPr="00617A78">
        <w:rPr>
          <w:rFonts w:ascii="Times New Roman" w:hAnsi="Times New Roman" w:cs="Times New Roman"/>
          <w:i/>
          <w:iCs/>
          <w:sz w:val="20"/>
          <w:szCs w:val="20"/>
        </w:rPr>
        <w:t>of</w:t>
      </w:r>
      <w:proofErr w:type="gramEnd"/>
      <w:r w:rsidRPr="00617A78">
        <w:rPr>
          <w:rFonts w:ascii="Times New Roman" w:hAnsi="Times New Roman" w:cs="Times New Roman"/>
          <w:i/>
          <w:iCs/>
          <w:sz w:val="20"/>
          <w:szCs w:val="20"/>
        </w:rPr>
        <w:t xml:space="preserve"> Machinists &amp; Aerospace Workers</w:t>
      </w:r>
      <w:r w:rsidRPr="00617A78">
        <w:rPr>
          <w:rFonts w:ascii="Times New Roman" w:hAnsi="Times New Roman" w:cs="Times New Roman"/>
          <w:sz w:val="20"/>
          <w:szCs w:val="20"/>
        </w:rPr>
        <w:t xml:space="preserve">, 693 F2d 35 (6th Cir 1982); </w:t>
      </w:r>
      <w:r w:rsidRPr="00617A78">
        <w:rPr>
          <w:rFonts w:ascii="Times New Roman" w:hAnsi="Times New Roman" w:cs="Times New Roman"/>
          <w:i/>
          <w:iCs/>
          <w:sz w:val="20"/>
          <w:szCs w:val="20"/>
        </w:rPr>
        <w:t xml:space="preserve">Health </w:t>
      </w:r>
      <w:proofErr w:type="spellStart"/>
      <w:r w:rsidRPr="00617A78">
        <w:rPr>
          <w:rFonts w:ascii="Times New Roman" w:hAnsi="Times New Roman" w:cs="Times New Roman"/>
          <w:i/>
          <w:iCs/>
          <w:sz w:val="20"/>
          <w:szCs w:val="20"/>
        </w:rPr>
        <w:t>Servs</w:t>
      </w:r>
      <w:proofErr w:type="spellEnd"/>
      <w:r w:rsidRPr="00617A78">
        <w:rPr>
          <w:rFonts w:ascii="Times New Roman" w:hAnsi="Times New Roman" w:cs="Times New Roman"/>
          <w:i/>
          <w:iCs/>
          <w:sz w:val="20"/>
          <w:szCs w:val="20"/>
        </w:rPr>
        <w:t>. Management Corp. v Hughes</w:t>
      </w:r>
      <w:r w:rsidRPr="00617A78">
        <w:rPr>
          <w:rFonts w:ascii="Times New Roman" w:hAnsi="Times New Roman" w:cs="Times New Roman"/>
          <w:sz w:val="20"/>
          <w:szCs w:val="20"/>
        </w:rPr>
        <w:t xml:space="preserve">, 975 F2d 1253 (7th Cir 1992); </w:t>
      </w:r>
      <w:r w:rsidRPr="00617A78">
        <w:rPr>
          <w:rFonts w:ascii="Times New Roman" w:hAnsi="Times New Roman" w:cs="Times New Roman"/>
          <w:i/>
          <w:iCs/>
          <w:sz w:val="20"/>
          <w:szCs w:val="20"/>
        </w:rPr>
        <w:t>Stroh Container Co. v Delphi Indus., Inc.</w:t>
      </w:r>
      <w:r w:rsidRPr="00617A78">
        <w:rPr>
          <w:rFonts w:ascii="Times New Roman" w:hAnsi="Times New Roman" w:cs="Times New Roman"/>
          <w:sz w:val="20"/>
          <w:szCs w:val="20"/>
        </w:rPr>
        <w:t xml:space="preserve">, 783 F2d 743 (8th Cir 1986); </w:t>
      </w:r>
      <w:r w:rsidRPr="00617A78">
        <w:rPr>
          <w:rFonts w:ascii="Times New Roman" w:hAnsi="Times New Roman" w:cs="Times New Roman"/>
          <w:i/>
          <w:iCs/>
          <w:sz w:val="20"/>
          <w:szCs w:val="20"/>
        </w:rPr>
        <w:t xml:space="preserve">French v Merrill Lynch, Pierce, </w:t>
      </w:r>
      <w:proofErr w:type="spellStart"/>
      <w:r w:rsidRPr="00617A78">
        <w:rPr>
          <w:rFonts w:ascii="Times New Roman" w:hAnsi="Times New Roman" w:cs="Times New Roman"/>
          <w:i/>
          <w:iCs/>
          <w:sz w:val="20"/>
          <w:szCs w:val="20"/>
        </w:rPr>
        <w:t>Fenner</w:t>
      </w:r>
      <w:proofErr w:type="spellEnd"/>
      <w:r w:rsidRPr="00617A78">
        <w:rPr>
          <w:rFonts w:ascii="Times New Roman" w:hAnsi="Times New Roman" w:cs="Times New Roman"/>
          <w:i/>
          <w:iCs/>
          <w:sz w:val="20"/>
          <w:szCs w:val="20"/>
        </w:rPr>
        <w:t xml:space="preserve"> &amp; Smith, Inc.</w:t>
      </w:r>
      <w:r w:rsidRPr="00617A78">
        <w:rPr>
          <w:rFonts w:ascii="Times New Roman" w:hAnsi="Times New Roman" w:cs="Times New Roman"/>
          <w:sz w:val="20"/>
          <w:szCs w:val="20"/>
        </w:rPr>
        <w:t xml:space="preserve">, 784 F2d 902 (9th Cir 1986); </w:t>
      </w:r>
      <w:r w:rsidRPr="00617A78">
        <w:rPr>
          <w:rFonts w:ascii="Times New Roman" w:hAnsi="Times New Roman" w:cs="Times New Roman"/>
          <w:i/>
          <w:iCs/>
          <w:sz w:val="20"/>
          <w:szCs w:val="20"/>
        </w:rPr>
        <w:t>Jenkins v Prudential-Bache Sec., Inc.</w:t>
      </w:r>
      <w:r w:rsidRPr="00617A78">
        <w:rPr>
          <w:rFonts w:ascii="Times New Roman" w:hAnsi="Times New Roman" w:cs="Times New Roman"/>
          <w:sz w:val="20"/>
          <w:szCs w:val="20"/>
        </w:rPr>
        <w:t xml:space="preserve">, 847 F2d 631 (10th Cir 1988); </w:t>
      </w:r>
      <w:r w:rsidRPr="00617A78">
        <w:rPr>
          <w:rFonts w:ascii="Times New Roman" w:hAnsi="Times New Roman" w:cs="Times New Roman"/>
          <w:i/>
          <w:iCs/>
          <w:sz w:val="20"/>
          <w:szCs w:val="20"/>
        </w:rPr>
        <w:t>Montes v Shearson Lehman Bros.</w:t>
      </w:r>
      <w:r w:rsidRPr="00617A78">
        <w:rPr>
          <w:rFonts w:ascii="Times New Roman" w:hAnsi="Times New Roman" w:cs="Times New Roman"/>
          <w:sz w:val="20"/>
          <w:szCs w:val="20"/>
        </w:rPr>
        <w:t xml:space="preserve">, 128 F3d 1456 (11th Cir 1997); </w:t>
      </w:r>
      <w:proofErr w:type="spellStart"/>
      <w:r w:rsidRPr="00617A78">
        <w:rPr>
          <w:rFonts w:ascii="Times New Roman" w:hAnsi="Times New Roman" w:cs="Times New Roman"/>
          <w:i/>
          <w:iCs/>
          <w:sz w:val="20"/>
          <w:szCs w:val="20"/>
        </w:rPr>
        <w:t>Kanuth</w:t>
      </w:r>
      <w:proofErr w:type="spellEnd"/>
      <w:r w:rsidRPr="00617A78">
        <w:rPr>
          <w:rFonts w:ascii="Times New Roman" w:hAnsi="Times New Roman" w:cs="Times New Roman"/>
          <w:i/>
          <w:iCs/>
          <w:sz w:val="20"/>
          <w:szCs w:val="20"/>
        </w:rPr>
        <w:t xml:space="preserve"> v Prescott</w:t>
      </w:r>
      <w:r w:rsidRPr="00617A78">
        <w:rPr>
          <w:rFonts w:ascii="Times New Roman" w:hAnsi="Times New Roman" w:cs="Times New Roman"/>
          <w:sz w:val="20"/>
          <w:szCs w:val="20"/>
        </w:rPr>
        <w:t xml:space="preserve">, 292 US App DC 319, 949 F2d 1175 (1991); John </w:t>
      </w:r>
      <w:proofErr w:type="spellStart"/>
      <w:r w:rsidRPr="00617A78">
        <w:rPr>
          <w:rFonts w:ascii="Times New Roman" w:hAnsi="Times New Roman" w:cs="Times New Roman"/>
          <w:sz w:val="20"/>
          <w:szCs w:val="20"/>
        </w:rPr>
        <w:t>Diaconis</w:t>
      </w:r>
      <w:proofErr w:type="spellEnd"/>
      <w:r w:rsidRPr="00617A78">
        <w:rPr>
          <w:rFonts w:ascii="Times New Roman" w:hAnsi="Times New Roman" w:cs="Times New Roman"/>
          <w:sz w:val="20"/>
          <w:szCs w:val="20"/>
        </w:rPr>
        <w:t xml:space="preserve"> &amp; Ari </w:t>
      </w:r>
      <w:proofErr w:type="spellStart"/>
      <w:r w:rsidRPr="00617A78">
        <w:rPr>
          <w:rFonts w:ascii="Times New Roman" w:hAnsi="Times New Roman" w:cs="Times New Roman"/>
          <w:sz w:val="20"/>
          <w:szCs w:val="20"/>
        </w:rPr>
        <w:t>Diaconis</w:t>
      </w:r>
      <w:proofErr w:type="spellEnd"/>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Six Years After Hall Street: The Continued Viability of Manifest Disregard, Jurisdiction by Jurisdiction</w:t>
      </w:r>
      <w:r w:rsidRPr="00617A78">
        <w:rPr>
          <w:rFonts w:ascii="Times New Roman" w:hAnsi="Times New Roman" w:cs="Times New Roman"/>
          <w:sz w:val="20"/>
          <w:szCs w:val="20"/>
        </w:rPr>
        <w:t xml:space="preserve">, </w:t>
      </w:r>
      <w:proofErr w:type="spellStart"/>
      <w:r w:rsidRPr="00617A78">
        <w:rPr>
          <w:rFonts w:ascii="Times New Roman" w:hAnsi="Times New Roman" w:cs="Times New Roman"/>
          <w:smallCaps/>
          <w:sz w:val="20"/>
          <w:szCs w:val="20"/>
        </w:rPr>
        <w:t>Bleakley</w:t>
      </w:r>
      <w:proofErr w:type="spellEnd"/>
      <w:r w:rsidRPr="00617A78">
        <w:rPr>
          <w:rFonts w:ascii="Times New Roman" w:hAnsi="Times New Roman" w:cs="Times New Roman"/>
          <w:smallCaps/>
          <w:sz w:val="20"/>
          <w:szCs w:val="20"/>
        </w:rPr>
        <w:t xml:space="preserve"> Platt</w:t>
      </w:r>
      <w:r w:rsidRPr="00617A78">
        <w:rPr>
          <w:rFonts w:ascii="Times New Roman" w:hAnsi="Times New Roman" w:cs="Times New Roman"/>
          <w:sz w:val="20"/>
          <w:szCs w:val="20"/>
        </w:rPr>
        <w:t xml:space="preserve">, at 10 (last visited May 6, 2017), http://www.bpslaw.com/files/20150729043546-ARIAS%20Quarterly%202015%20First%20Quarter%20-%20Six%20Years%20After%20Hall%20St.pdf (citing </w:t>
      </w:r>
      <w:r w:rsidRPr="00617A78">
        <w:rPr>
          <w:rFonts w:ascii="Times New Roman" w:hAnsi="Times New Roman" w:cs="Times New Roman"/>
          <w:i/>
          <w:sz w:val="20"/>
          <w:szCs w:val="20"/>
        </w:rPr>
        <w:t xml:space="preserve">McCarthy v. Citigroup Global </w:t>
      </w:r>
      <w:proofErr w:type="spellStart"/>
      <w:r w:rsidRPr="00617A78">
        <w:rPr>
          <w:rFonts w:ascii="Times New Roman" w:hAnsi="Times New Roman" w:cs="Times New Roman"/>
          <w:i/>
          <w:sz w:val="20"/>
          <w:szCs w:val="20"/>
        </w:rPr>
        <w:t>Mkts</w:t>
      </w:r>
      <w:proofErr w:type="spellEnd"/>
      <w:r w:rsidRPr="00617A78">
        <w:rPr>
          <w:rFonts w:ascii="Times New Roman" w:hAnsi="Times New Roman" w:cs="Times New Roman"/>
          <w:i/>
          <w:sz w:val="20"/>
          <w:szCs w:val="20"/>
        </w:rPr>
        <w:t xml:space="preserve">., Inc., </w:t>
      </w:r>
      <w:r w:rsidRPr="00617A78">
        <w:rPr>
          <w:rFonts w:ascii="Times New Roman" w:hAnsi="Times New Roman" w:cs="Times New Roman"/>
          <w:sz w:val="20"/>
          <w:szCs w:val="20"/>
        </w:rPr>
        <w:t>463 F.3d</w:t>
      </w:r>
      <w:r w:rsidRPr="00617A78">
        <w:rPr>
          <w:rFonts w:ascii="Times New Roman" w:hAnsi="Times New Roman" w:cs="Times New Roman"/>
          <w:i/>
          <w:sz w:val="20"/>
          <w:szCs w:val="20"/>
        </w:rPr>
        <w:t xml:space="preserve"> </w:t>
      </w:r>
      <w:r w:rsidRPr="00617A78">
        <w:rPr>
          <w:rFonts w:ascii="Times New Roman" w:hAnsi="Times New Roman" w:cs="Times New Roman"/>
          <w:sz w:val="20"/>
          <w:szCs w:val="20"/>
        </w:rPr>
        <w:t xml:space="preserve">87, 91 (1st Cir. 2006); </w:t>
      </w:r>
      <w:proofErr w:type="spellStart"/>
      <w:r w:rsidRPr="00617A78">
        <w:rPr>
          <w:rFonts w:ascii="Times New Roman" w:hAnsi="Times New Roman" w:cs="Times New Roman"/>
          <w:i/>
          <w:sz w:val="20"/>
          <w:szCs w:val="20"/>
        </w:rPr>
        <w:t>Hoeft</w:t>
      </w:r>
      <w:proofErr w:type="spellEnd"/>
      <w:r w:rsidRPr="00617A78">
        <w:rPr>
          <w:rFonts w:ascii="Times New Roman" w:hAnsi="Times New Roman" w:cs="Times New Roman"/>
          <w:i/>
          <w:sz w:val="20"/>
          <w:szCs w:val="20"/>
        </w:rPr>
        <w:t xml:space="preserve"> v. MVL </w:t>
      </w:r>
      <w:proofErr w:type="spellStart"/>
      <w:r w:rsidRPr="00617A78">
        <w:rPr>
          <w:rFonts w:ascii="Times New Roman" w:hAnsi="Times New Roman" w:cs="Times New Roman"/>
          <w:i/>
          <w:sz w:val="20"/>
          <w:szCs w:val="20"/>
        </w:rPr>
        <w:t>Grp</w:t>
      </w:r>
      <w:proofErr w:type="spellEnd"/>
      <w:r w:rsidRPr="00617A78">
        <w:rPr>
          <w:rFonts w:ascii="Times New Roman" w:hAnsi="Times New Roman" w:cs="Times New Roman"/>
          <w:i/>
          <w:sz w:val="20"/>
          <w:szCs w:val="20"/>
        </w:rPr>
        <w:t>., Inc.</w:t>
      </w:r>
      <w:r w:rsidRPr="00617A78">
        <w:rPr>
          <w:rFonts w:ascii="Times New Roman" w:hAnsi="Times New Roman" w:cs="Times New Roman"/>
          <w:sz w:val="20"/>
          <w:szCs w:val="20"/>
        </w:rPr>
        <w:t xml:space="preserve">, 343 F.3d 57, 64 (2d Cir. 2003); </w:t>
      </w:r>
      <w:proofErr w:type="spellStart"/>
      <w:r w:rsidRPr="00617A78">
        <w:rPr>
          <w:rFonts w:ascii="Times New Roman" w:hAnsi="Times New Roman" w:cs="Times New Roman"/>
          <w:i/>
          <w:sz w:val="20"/>
          <w:szCs w:val="20"/>
        </w:rPr>
        <w:t>Duluhos</w:t>
      </w:r>
      <w:proofErr w:type="spellEnd"/>
      <w:r w:rsidRPr="00617A78">
        <w:rPr>
          <w:rFonts w:ascii="Times New Roman" w:hAnsi="Times New Roman" w:cs="Times New Roman"/>
          <w:i/>
          <w:sz w:val="20"/>
          <w:szCs w:val="20"/>
        </w:rPr>
        <w:t xml:space="preserve"> v. </w:t>
      </w:r>
      <w:proofErr w:type="spellStart"/>
      <w:r w:rsidRPr="00617A78">
        <w:rPr>
          <w:rFonts w:ascii="Times New Roman" w:hAnsi="Times New Roman" w:cs="Times New Roman"/>
          <w:i/>
          <w:sz w:val="20"/>
          <w:szCs w:val="20"/>
        </w:rPr>
        <w:t>Stasberg</w:t>
      </w:r>
      <w:proofErr w:type="spellEnd"/>
      <w:r w:rsidRPr="00617A78">
        <w:rPr>
          <w:rFonts w:ascii="Times New Roman" w:hAnsi="Times New Roman" w:cs="Times New Roman"/>
          <w:sz w:val="20"/>
          <w:szCs w:val="20"/>
        </w:rPr>
        <w:t xml:space="preserve">, 321 F.3d 365, 370 (3d Cir. 2003); </w:t>
      </w:r>
      <w:r w:rsidRPr="00617A78">
        <w:rPr>
          <w:rFonts w:ascii="Times New Roman" w:hAnsi="Times New Roman" w:cs="Times New Roman"/>
          <w:i/>
          <w:sz w:val="20"/>
          <w:szCs w:val="20"/>
        </w:rPr>
        <w:t xml:space="preserve">Three S Delaware, Inc., v. </w:t>
      </w:r>
      <w:proofErr w:type="spellStart"/>
      <w:r w:rsidRPr="00617A78">
        <w:rPr>
          <w:rFonts w:ascii="Times New Roman" w:hAnsi="Times New Roman" w:cs="Times New Roman"/>
          <w:i/>
          <w:sz w:val="20"/>
          <w:szCs w:val="20"/>
        </w:rPr>
        <w:t>DataQuick</w:t>
      </w:r>
      <w:proofErr w:type="spellEnd"/>
      <w:r w:rsidRPr="00617A78">
        <w:rPr>
          <w:rFonts w:ascii="Times New Roman" w:hAnsi="Times New Roman" w:cs="Times New Roman"/>
          <w:i/>
          <w:sz w:val="20"/>
          <w:szCs w:val="20"/>
        </w:rPr>
        <w:t xml:space="preserve"> Info Sys., Inc.</w:t>
      </w:r>
      <w:r w:rsidRPr="00617A78">
        <w:rPr>
          <w:rFonts w:ascii="Times New Roman" w:hAnsi="Times New Roman" w:cs="Times New Roman"/>
          <w:sz w:val="20"/>
          <w:szCs w:val="20"/>
        </w:rPr>
        <w:t xml:space="preserve">, 492 F.3d 520, 527 (4th Cir. 2007); </w:t>
      </w:r>
      <w:r w:rsidRPr="00617A78">
        <w:rPr>
          <w:rFonts w:ascii="Times New Roman" w:hAnsi="Times New Roman" w:cs="Times New Roman"/>
          <w:i/>
          <w:sz w:val="20"/>
          <w:szCs w:val="20"/>
        </w:rPr>
        <w:t xml:space="preserve">Prestige For v. Ford Dealer Computer </w:t>
      </w:r>
      <w:proofErr w:type="spellStart"/>
      <w:r w:rsidRPr="00617A78">
        <w:rPr>
          <w:rFonts w:ascii="Times New Roman" w:hAnsi="Times New Roman" w:cs="Times New Roman"/>
          <w:i/>
          <w:sz w:val="20"/>
          <w:szCs w:val="20"/>
        </w:rPr>
        <w:t>Servs</w:t>
      </w:r>
      <w:proofErr w:type="spellEnd"/>
      <w:r w:rsidRPr="00617A78">
        <w:rPr>
          <w:rFonts w:ascii="Times New Roman" w:hAnsi="Times New Roman" w:cs="Times New Roman"/>
          <w:i/>
          <w:sz w:val="20"/>
          <w:szCs w:val="20"/>
        </w:rPr>
        <w:t>., Inc.</w:t>
      </w:r>
      <w:r w:rsidRPr="00617A78">
        <w:rPr>
          <w:rFonts w:ascii="Times New Roman" w:hAnsi="Times New Roman" w:cs="Times New Roman"/>
          <w:sz w:val="20"/>
          <w:szCs w:val="20"/>
        </w:rPr>
        <w:t xml:space="preserve">, 324 F.3d 391, 395-96 (5th Cir. 2003); </w:t>
      </w:r>
      <w:r w:rsidRPr="00617A78">
        <w:rPr>
          <w:rFonts w:ascii="Times New Roman" w:hAnsi="Times New Roman" w:cs="Times New Roman"/>
          <w:i/>
          <w:sz w:val="20"/>
          <w:szCs w:val="20"/>
        </w:rPr>
        <w:t xml:space="preserve">Merrill Lynch, Pierce, </w:t>
      </w:r>
      <w:proofErr w:type="spellStart"/>
      <w:r w:rsidRPr="00617A78">
        <w:rPr>
          <w:rFonts w:ascii="Times New Roman" w:hAnsi="Times New Roman" w:cs="Times New Roman"/>
          <w:i/>
          <w:sz w:val="20"/>
          <w:szCs w:val="20"/>
        </w:rPr>
        <w:t>Fenner</w:t>
      </w:r>
      <w:proofErr w:type="spellEnd"/>
      <w:r w:rsidRPr="00617A78">
        <w:rPr>
          <w:rFonts w:ascii="Times New Roman" w:hAnsi="Times New Roman" w:cs="Times New Roman"/>
          <w:i/>
          <w:sz w:val="20"/>
          <w:szCs w:val="20"/>
        </w:rPr>
        <w:t xml:space="preserve"> &amp; Smith, Inc., v. </w:t>
      </w:r>
      <w:proofErr w:type="spellStart"/>
      <w:r w:rsidRPr="00617A78">
        <w:rPr>
          <w:rFonts w:ascii="Times New Roman" w:hAnsi="Times New Roman" w:cs="Times New Roman"/>
          <w:i/>
          <w:sz w:val="20"/>
          <w:szCs w:val="20"/>
        </w:rPr>
        <w:t>Jaros</w:t>
      </w:r>
      <w:proofErr w:type="spellEnd"/>
      <w:r w:rsidRPr="00617A78">
        <w:rPr>
          <w:rFonts w:ascii="Times New Roman" w:hAnsi="Times New Roman" w:cs="Times New Roman"/>
          <w:sz w:val="20"/>
          <w:szCs w:val="20"/>
        </w:rPr>
        <w:t xml:space="preserve">, 70 F.3d 418, 420-21 (6th Cir. 1995); </w:t>
      </w:r>
      <w:proofErr w:type="spellStart"/>
      <w:r w:rsidRPr="00617A78">
        <w:rPr>
          <w:rFonts w:ascii="Times New Roman" w:hAnsi="Times New Roman" w:cs="Times New Roman"/>
          <w:i/>
          <w:sz w:val="20"/>
          <w:szCs w:val="20"/>
        </w:rPr>
        <w:t>Halim</w:t>
      </w:r>
      <w:proofErr w:type="spellEnd"/>
      <w:r w:rsidRPr="00617A78">
        <w:rPr>
          <w:rFonts w:ascii="Times New Roman" w:hAnsi="Times New Roman" w:cs="Times New Roman"/>
          <w:i/>
          <w:sz w:val="20"/>
          <w:szCs w:val="20"/>
        </w:rPr>
        <w:t xml:space="preserve"> v. Great Gatsby’s Auction Gallery, Inc.</w:t>
      </w:r>
      <w:r w:rsidRPr="00617A78">
        <w:rPr>
          <w:rFonts w:ascii="Times New Roman" w:hAnsi="Times New Roman" w:cs="Times New Roman"/>
          <w:sz w:val="20"/>
          <w:szCs w:val="20"/>
        </w:rPr>
        <w:t xml:space="preserve">, 516 F.3d 557, 563 (7th Cir. 2008); </w:t>
      </w:r>
      <w:proofErr w:type="spellStart"/>
      <w:r w:rsidRPr="00617A78">
        <w:rPr>
          <w:rFonts w:ascii="Times New Roman" w:hAnsi="Times New Roman" w:cs="Times New Roman"/>
          <w:i/>
          <w:sz w:val="20"/>
          <w:szCs w:val="20"/>
        </w:rPr>
        <w:t>Manion</w:t>
      </w:r>
      <w:proofErr w:type="spellEnd"/>
      <w:r w:rsidRPr="00617A78">
        <w:rPr>
          <w:rFonts w:ascii="Times New Roman" w:hAnsi="Times New Roman" w:cs="Times New Roman"/>
          <w:i/>
          <w:sz w:val="20"/>
          <w:szCs w:val="20"/>
        </w:rPr>
        <w:t xml:space="preserve"> v. </w:t>
      </w:r>
      <w:proofErr w:type="spellStart"/>
      <w:r w:rsidRPr="00617A78">
        <w:rPr>
          <w:rFonts w:ascii="Times New Roman" w:hAnsi="Times New Roman" w:cs="Times New Roman"/>
          <w:i/>
          <w:sz w:val="20"/>
          <w:szCs w:val="20"/>
        </w:rPr>
        <w:t>Nagin</w:t>
      </w:r>
      <w:proofErr w:type="spellEnd"/>
      <w:r w:rsidRPr="00617A78">
        <w:rPr>
          <w:rFonts w:ascii="Times New Roman" w:hAnsi="Times New Roman" w:cs="Times New Roman"/>
          <w:sz w:val="20"/>
          <w:szCs w:val="20"/>
        </w:rPr>
        <w:t xml:space="preserve">, 392 F.3d 294, 298 (8th Cir. 2004); </w:t>
      </w:r>
      <w:r w:rsidRPr="00617A78">
        <w:rPr>
          <w:rFonts w:ascii="Times New Roman" w:hAnsi="Times New Roman" w:cs="Times New Roman"/>
          <w:i/>
          <w:sz w:val="20"/>
          <w:szCs w:val="20"/>
        </w:rPr>
        <w:t>Collins v. D.R. Horton, Inc.</w:t>
      </w:r>
      <w:r w:rsidRPr="00617A78">
        <w:rPr>
          <w:rFonts w:ascii="Times New Roman" w:hAnsi="Times New Roman" w:cs="Times New Roman"/>
          <w:sz w:val="20"/>
          <w:szCs w:val="20"/>
        </w:rPr>
        <w:t xml:space="preserve">, 505 F.3d 874, 879 (9th Cir. 2007); </w:t>
      </w:r>
      <w:r w:rsidRPr="00617A78">
        <w:rPr>
          <w:rFonts w:ascii="Times New Roman" w:hAnsi="Times New Roman" w:cs="Times New Roman"/>
          <w:i/>
          <w:sz w:val="20"/>
          <w:szCs w:val="20"/>
        </w:rPr>
        <w:t xml:space="preserve">Dominion Video Satellite, Inc. v. </w:t>
      </w:r>
      <w:proofErr w:type="spellStart"/>
      <w:r w:rsidRPr="00617A78">
        <w:rPr>
          <w:rFonts w:ascii="Times New Roman" w:hAnsi="Times New Roman" w:cs="Times New Roman"/>
          <w:i/>
          <w:sz w:val="20"/>
          <w:szCs w:val="20"/>
        </w:rPr>
        <w:t>Echostar</w:t>
      </w:r>
      <w:proofErr w:type="spellEnd"/>
      <w:r w:rsidRPr="00617A78">
        <w:rPr>
          <w:rFonts w:ascii="Times New Roman" w:hAnsi="Times New Roman" w:cs="Times New Roman"/>
          <w:i/>
          <w:sz w:val="20"/>
          <w:szCs w:val="20"/>
        </w:rPr>
        <w:t xml:space="preserve"> Satellite LLC</w:t>
      </w:r>
      <w:r w:rsidRPr="00617A78">
        <w:rPr>
          <w:rFonts w:ascii="Times New Roman" w:hAnsi="Times New Roman" w:cs="Times New Roman"/>
          <w:sz w:val="20"/>
          <w:szCs w:val="20"/>
        </w:rPr>
        <w:t xml:space="preserve">, 430 F.3d 1269, 1275 (10th Cir. 2005); </w:t>
      </w:r>
      <w:r w:rsidRPr="00617A78">
        <w:rPr>
          <w:rFonts w:ascii="Times New Roman" w:hAnsi="Times New Roman" w:cs="Times New Roman"/>
          <w:i/>
          <w:sz w:val="20"/>
          <w:szCs w:val="20"/>
        </w:rPr>
        <w:t>Scott v. Prudential Sec., Inc.</w:t>
      </w:r>
      <w:r w:rsidRPr="00617A78">
        <w:rPr>
          <w:rFonts w:ascii="Times New Roman" w:hAnsi="Times New Roman" w:cs="Times New Roman"/>
          <w:sz w:val="20"/>
          <w:szCs w:val="20"/>
        </w:rPr>
        <w:t xml:space="preserve">, 141 F.3d 1007, 1017 (11th Cir. 1998); </w:t>
      </w:r>
      <w:proofErr w:type="spellStart"/>
      <w:r w:rsidRPr="00617A78">
        <w:rPr>
          <w:rFonts w:ascii="Times New Roman" w:hAnsi="Times New Roman" w:cs="Times New Roman"/>
          <w:i/>
          <w:sz w:val="20"/>
          <w:szCs w:val="20"/>
        </w:rPr>
        <w:t>Lessin</w:t>
      </w:r>
      <w:proofErr w:type="spellEnd"/>
      <w:r w:rsidRPr="00617A78">
        <w:rPr>
          <w:rFonts w:ascii="Times New Roman" w:hAnsi="Times New Roman" w:cs="Times New Roman"/>
          <w:i/>
          <w:sz w:val="20"/>
          <w:szCs w:val="20"/>
        </w:rPr>
        <w:t xml:space="preserve"> v. Merrill Lynch, Pierce, </w:t>
      </w:r>
      <w:proofErr w:type="spellStart"/>
      <w:r w:rsidRPr="00617A78">
        <w:rPr>
          <w:rFonts w:ascii="Times New Roman" w:hAnsi="Times New Roman" w:cs="Times New Roman"/>
          <w:i/>
          <w:sz w:val="20"/>
          <w:szCs w:val="20"/>
        </w:rPr>
        <w:t>Fenner</w:t>
      </w:r>
      <w:proofErr w:type="spellEnd"/>
      <w:r w:rsidRPr="00617A78">
        <w:rPr>
          <w:rFonts w:ascii="Times New Roman" w:hAnsi="Times New Roman" w:cs="Times New Roman"/>
          <w:i/>
          <w:sz w:val="20"/>
          <w:szCs w:val="20"/>
        </w:rPr>
        <w:t xml:space="preserve"> &amp; Smith, Inc.</w:t>
      </w:r>
      <w:r w:rsidRPr="00617A78">
        <w:rPr>
          <w:rFonts w:ascii="Times New Roman" w:hAnsi="Times New Roman" w:cs="Times New Roman"/>
          <w:sz w:val="20"/>
          <w:szCs w:val="20"/>
        </w:rPr>
        <w:t xml:space="preserve">, 481 F.3d 813, 821 (D.C. Cir. 2007)). </w:t>
      </w:r>
    </w:p>
  </w:footnote>
  <w:footnote w:id="25">
    <w:p w14:paraId="33A97B2F" w14:textId="62B29B33" w:rsidR="00AD3492" w:rsidRPr="00617A78" w:rsidRDefault="00AD3492" w:rsidP="00140F78">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See infra</w:t>
      </w:r>
      <w:r>
        <w:rPr>
          <w:rFonts w:ascii="Times New Roman" w:hAnsi="Times New Roman" w:cs="Times New Roman"/>
          <w:sz w:val="20"/>
          <w:szCs w:val="20"/>
        </w:rPr>
        <w:t xml:space="preserve"> Part </w:t>
      </w:r>
      <w:proofErr w:type="gramStart"/>
      <w:r>
        <w:rPr>
          <w:rFonts w:ascii="Times New Roman" w:hAnsi="Times New Roman" w:cs="Times New Roman"/>
          <w:sz w:val="20"/>
          <w:szCs w:val="20"/>
        </w:rPr>
        <w:t>IV(</w:t>
      </w:r>
      <w:proofErr w:type="gramEnd"/>
      <w:r>
        <w:rPr>
          <w:rFonts w:ascii="Times New Roman" w:hAnsi="Times New Roman" w:cs="Times New Roman"/>
          <w:sz w:val="20"/>
          <w:szCs w:val="20"/>
        </w:rPr>
        <w:t>a)(i)-(iii)</w:t>
      </w:r>
      <w:r w:rsidRPr="00617A78">
        <w:rPr>
          <w:rFonts w:ascii="Times New Roman" w:hAnsi="Times New Roman" w:cs="Times New Roman"/>
          <w:sz w:val="20"/>
          <w:szCs w:val="20"/>
        </w:rPr>
        <w:t xml:space="preserve">. </w:t>
      </w:r>
    </w:p>
  </w:footnote>
  <w:footnote w:id="26">
    <w:p w14:paraId="07E78ED2" w14:textId="0164EC16" w:rsidR="00AD3492" w:rsidRPr="00617A78" w:rsidRDefault="00AD3492" w:rsidP="00140F78">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Davis,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_Ref355706240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19</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 xml:space="preserve">, at 94 (“Despite the vagueness of the </w:t>
      </w:r>
      <w:proofErr w:type="spellStart"/>
      <w:r w:rsidRPr="00617A78">
        <w:rPr>
          <w:rFonts w:ascii="Times New Roman" w:hAnsi="Times New Roman" w:cs="Times New Roman"/>
          <w:i/>
          <w:sz w:val="20"/>
          <w:szCs w:val="20"/>
        </w:rPr>
        <w:t>Wilko</w:t>
      </w:r>
      <w:proofErr w:type="spellEnd"/>
      <w:r w:rsidRPr="00617A78">
        <w:rPr>
          <w:rFonts w:ascii="Times New Roman" w:hAnsi="Times New Roman" w:cs="Times New Roman"/>
          <w:i/>
          <w:sz w:val="20"/>
          <w:szCs w:val="20"/>
        </w:rPr>
        <w:t xml:space="preserve"> </w:t>
      </w:r>
      <w:r w:rsidRPr="00617A78">
        <w:rPr>
          <w:rFonts w:ascii="Times New Roman" w:hAnsi="Times New Roman" w:cs="Times New Roman"/>
          <w:sz w:val="20"/>
          <w:szCs w:val="20"/>
        </w:rPr>
        <w:t xml:space="preserve">dicta, the circuit courts, one by one, recognized the manifest disregard standard.”); Chen,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_Ref355704712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8</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 xml:space="preserve">, at 1879 (“Prior to </w:t>
      </w:r>
      <w:r w:rsidRPr="00617A78">
        <w:rPr>
          <w:rFonts w:ascii="Times New Roman" w:hAnsi="Times New Roman" w:cs="Times New Roman"/>
          <w:i/>
          <w:sz w:val="20"/>
          <w:szCs w:val="20"/>
        </w:rPr>
        <w:t>Hall Street</w:t>
      </w:r>
      <w:r w:rsidRPr="00617A78">
        <w:rPr>
          <w:rFonts w:ascii="Times New Roman" w:hAnsi="Times New Roman" w:cs="Times New Roman"/>
          <w:sz w:val="20"/>
          <w:szCs w:val="20"/>
        </w:rPr>
        <w:t xml:space="preserve">, manifest disregard as an independent ground for </w:t>
      </w:r>
      <w:proofErr w:type="spellStart"/>
      <w:r w:rsidRPr="00617A78">
        <w:rPr>
          <w:rFonts w:ascii="Times New Roman" w:hAnsi="Times New Roman" w:cs="Times New Roman"/>
          <w:sz w:val="20"/>
          <w:szCs w:val="20"/>
        </w:rPr>
        <w:t>vacatur</w:t>
      </w:r>
      <w:proofErr w:type="spellEnd"/>
      <w:r w:rsidRPr="00617A78">
        <w:rPr>
          <w:rFonts w:ascii="Times New Roman" w:hAnsi="Times New Roman" w:cs="Times New Roman"/>
          <w:sz w:val="20"/>
          <w:szCs w:val="20"/>
        </w:rPr>
        <w:t xml:space="preserve"> was well accepted by all circuit courts except for the Seventh Circuit.”); Burch</w:t>
      </w:r>
      <w:r>
        <w:rPr>
          <w:rFonts w:ascii="Times New Roman" w:hAnsi="Times New Roman" w:cs="Times New Roman"/>
          <w:sz w:val="20"/>
          <w:szCs w:val="20"/>
        </w:rPr>
        <w:t xml:space="preserve">, </w:t>
      </w:r>
      <w:r>
        <w:rPr>
          <w:rFonts w:ascii="Times New Roman" w:hAnsi="Times New Roman" w:cs="Times New Roman"/>
          <w:i/>
          <w:sz w:val="20"/>
          <w:szCs w:val="20"/>
        </w:rPr>
        <w:t xml:space="preserve">supra </w:t>
      </w:r>
      <w:r>
        <w:rPr>
          <w:rFonts w:ascii="Times New Roman" w:hAnsi="Times New Roman" w:cs="Times New Roman"/>
          <w:sz w:val="20"/>
          <w:szCs w:val="20"/>
        </w:rPr>
        <w:t xml:space="preserve">note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NOTEREF _Ref355707198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8A45C8">
        <w:rPr>
          <w:rFonts w:ascii="Times New Roman" w:hAnsi="Times New Roman" w:cs="Times New Roman"/>
          <w:sz w:val="20"/>
          <w:szCs w:val="20"/>
        </w:rPr>
        <w:t>17</w:t>
      </w:r>
      <w:r>
        <w:rPr>
          <w:rFonts w:ascii="Times New Roman" w:hAnsi="Times New Roman" w:cs="Times New Roman"/>
          <w:sz w:val="20"/>
          <w:szCs w:val="20"/>
        </w:rPr>
        <w:fldChar w:fldCharType="end"/>
      </w:r>
      <w:r>
        <w:rPr>
          <w:rFonts w:ascii="Times New Roman" w:hAnsi="Times New Roman" w:cs="Times New Roman"/>
          <w:sz w:val="20"/>
          <w:szCs w:val="20"/>
        </w:rPr>
        <w:t>, at</w:t>
      </w:r>
      <w:r w:rsidRPr="00617A78">
        <w:rPr>
          <w:rFonts w:ascii="Times New Roman" w:hAnsi="Times New Roman" w:cs="Times New Roman"/>
          <w:sz w:val="20"/>
          <w:szCs w:val="20"/>
        </w:rPr>
        <w:t xml:space="preserve"> 61 (“every federal circuit court of appeals has adopted [the doctrine of manifest disregard] (although the Fifth and Eleventh Circuit have since renounced it), </w:t>
      </w:r>
      <w:r>
        <w:rPr>
          <w:rFonts w:ascii="Times New Roman" w:hAnsi="Times New Roman" w:cs="Times New Roman"/>
          <w:sz w:val="20"/>
          <w:szCs w:val="20"/>
        </w:rPr>
        <w:t xml:space="preserve">[and] </w:t>
      </w:r>
      <w:r w:rsidRPr="00617A78">
        <w:rPr>
          <w:rFonts w:ascii="Times New Roman" w:hAnsi="Times New Roman" w:cs="Times New Roman"/>
          <w:sz w:val="20"/>
          <w:szCs w:val="20"/>
        </w:rPr>
        <w:t xml:space="preserve">many state courts have adopted it…”); </w:t>
      </w:r>
      <w:proofErr w:type="spellStart"/>
      <w:r w:rsidRPr="00617A78">
        <w:rPr>
          <w:rFonts w:ascii="Times New Roman" w:hAnsi="Times New Roman" w:cs="Times New Roman"/>
          <w:sz w:val="20"/>
          <w:szCs w:val="20"/>
        </w:rPr>
        <w:t>Scodro</w:t>
      </w:r>
      <w:proofErr w:type="spellEnd"/>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_Ref355705725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14</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 xml:space="preserve">, at 567 (“Despite its humble origins and lack of explication from the Supreme Court, the ‘manifest disregard’ doctrine has taken hold in every federal circuit and in many state courts.”); </w:t>
      </w:r>
      <w:proofErr w:type="spellStart"/>
      <w:r w:rsidRPr="00617A78">
        <w:rPr>
          <w:rFonts w:ascii="Times New Roman" w:hAnsi="Times New Roman" w:cs="Times New Roman"/>
          <w:sz w:val="20"/>
          <w:szCs w:val="20"/>
        </w:rPr>
        <w:t>LeRoy</w:t>
      </w:r>
      <w:proofErr w:type="spellEnd"/>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_Ref355705725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14</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 at 158-59.</w:t>
      </w:r>
    </w:p>
  </w:footnote>
  <w:footnote w:id="27">
    <w:p w14:paraId="595ED279" w14:textId="3BCF494C" w:rsidR="00AD3492" w:rsidRPr="00617A78" w:rsidRDefault="00AD3492" w:rsidP="00140F78">
      <w:pPr>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r w:rsidRPr="00617A78">
        <w:rPr>
          <w:rFonts w:ascii="Times New Roman" w:hAnsi="Times New Roman" w:cs="Times New Roman"/>
          <w:i/>
          <w:iCs/>
          <w:sz w:val="20"/>
          <w:szCs w:val="20"/>
        </w:rPr>
        <w:t>First Options of Chicago, Inc. v Kaplan</w:t>
      </w:r>
      <w:r w:rsidRPr="00617A78">
        <w:rPr>
          <w:rFonts w:ascii="Times New Roman" w:hAnsi="Times New Roman" w:cs="Times New Roman"/>
          <w:sz w:val="20"/>
          <w:szCs w:val="20"/>
        </w:rPr>
        <w:t xml:space="preserve">, 514 U.S. 938, 942 (1995) (citing 9 U.S.C. § 10 (award procured by corruption, fraud, or undue means; arbitrator exceeded his powers); </w:t>
      </w:r>
      <w:proofErr w:type="spellStart"/>
      <w:r w:rsidRPr="00617A78">
        <w:rPr>
          <w:rFonts w:ascii="Times New Roman" w:hAnsi="Times New Roman" w:cs="Times New Roman"/>
          <w:i/>
          <w:iCs/>
          <w:sz w:val="20"/>
          <w:szCs w:val="20"/>
        </w:rPr>
        <w:t>Wilko</w:t>
      </w:r>
      <w:proofErr w:type="spellEnd"/>
      <w:r w:rsidRPr="00617A78">
        <w:rPr>
          <w:rFonts w:ascii="Times New Roman" w:hAnsi="Times New Roman" w:cs="Times New Roman"/>
          <w:sz w:val="20"/>
          <w:szCs w:val="20"/>
        </w:rPr>
        <w:t xml:space="preserve"> v. </w:t>
      </w:r>
      <w:r w:rsidRPr="00617A78">
        <w:rPr>
          <w:rFonts w:ascii="Times New Roman" w:hAnsi="Times New Roman" w:cs="Times New Roman"/>
          <w:i/>
          <w:iCs/>
          <w:sz w:val="20"/>
          <w:szCs w:val="20"/>
        </w:rPr>
        <w:t>Swan</w:t>
      </w:r>
      <w:r w:rsidRPr="00617A78">
        <w:rPr>
          <w:rFonts w:ascii="Times New Roman" w:hAnsi="Times New Roman" w:cs="Times New Roman"/>
          <w:sz w:val="20"/>
          <w:szCs w:val="20"/>
        </w:rPr>
        <w:t xml:space="preserve">, 346 U.S. 427, 436-437, 98 L. Ed. 168, 74 S. Ct. 182 (1953) (parties bound by arbitrator's decision not in "manifest disregard" of the law), overruled on other grounds, </w:t>
      </w:r>
      <w:r w:rsidRPr="00617A78">
        <w:rPr>
          <w:rFonts w:ascii="Times New Roman" w:hAnsi="Times New Roman" w:cs="Times New Roman"/>
          <w:i/>
          <w:iCs/>
          <w:sz w:val="20"/>
          <w:szCs w:val="20"/>
        </w:rPr>
        <w:t xml:space="preserve">Rodriguez de </w:t>
      </w:r>
      <w:proofErr w:type="spellStart"/>
      <w:r w:rsidRPr="00617A78">
        <w:rPr>
          <w:rFonts w:ascii="Times New Roman" w:hAnsi="Times New Roman" w:cs="Times New Roman"/>
          <w:i/>
          <w:iCs/>
          <w:sz w:val="20"/>
          <w:szCs w:val="20"/>
        </w:rPr>
        <w:t>Quijas</w:t>
      </w:r>
      <w:proofErr w:type="spellEnd"/>
      <w:r w:rsidRPr="00617A78">
        <w:rPr>
          <w:rFonts w:ascii="Times New Roman" w:hAnsi="Times New Roman" w:cs="Times New Roman"/>
          <w:sz w:val="20"/>
          <w:szCs w:val="20"/>
        </w:rPr>
        <w:t xml:space="preserve"> v. </w:t>
      </w:r>
      <w:r w:rsidRPr="00617A78">
        <w:rPr>
          <w:rFonts w:ascii="Times New Roman" w:hAnsi="Times New Roman" w:cs="Times New Roman"/>
          <w:i/>
          <w:iCs/>
          <w:sz w:val="20"/>
          <w:szCs w:val="20"/>
        </w:rPr>
        <w:t>Shearson/American Express, Inc.</w:t>
      </w:r>
      <w:r w:rsidRPr="00617A78">
        <w:rPr>
          <w:rFonts w:ascii="Times New Roman" w:hAnsi="Times New Roman" w:cs="Times New Roman"/>
          <w:sz w:val="20"/>
          <w:szCs w:val="20"/>
        </w:rPr>
        <w:t xml:space="preserve">, 490 U.S. 477, 104 L. Ed. 2d 526, 109 S. Ct. 1917 (1989)). </w:t>
      </w:r>
    </w:p>
  </w:footnote>
  <w:footnote w:id="28">
    <w:p w14:paraId="25BD510A" w14:textId="30EDF6EC" w:rsidR="00AD3492" w:rsidRPr="00617A78" w:rsidRDefault="00AD3492" w:rsidP="00140F78">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Burch,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_Ref355707198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17</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 xml:space="preserve">, at 62 (citing </w:t>
      </w:r>
      <w:r w:rsidRPr="00617A78">
        <w:rPr>
          <w:rFonts w:ascii="Times New Roman" w:hAnsi="Times New Roman" w:cs="Times New Roman"/>
          <w:i/>
          <w:iCs/>
          <w:sz w:val="20"/>
          <w:szCs w:val="20"/>
        </w:rPr>
        <w:t>First Options of Chicago, Inc. v Kaplan</w:t>
      </w:r>
      <w:r w:rsidRPr="00617A78">
        <w:rPr>
          <w:rFonts w:ascii="Times New Roman" w:hAnsi="Times New Roman" w:cs="Times New Roman"/>
          <w:sz w:val="20"/>
          <w:szCs w:val="20"/>
        </w:rPr>
        <w:t xml:space="preserve">, 514 U.S. 938, 942 (1995)(citing </w:t>
      </w:r>
      <w:proofErr w:type="spellStart"/>
      <w:r w:rsidRPr="00617A78">
        <w:rPr>
          <w:rFonts w:ascii="Times New Roman" w:hAnsi="Times New Roman" w:cs="Times New Roman"/>
          <w:i/>
          <w:sz w:val="20"/>
          <w:szCs w:val="20"/>
        </w:rPr>
        <w:t>Wilko</w:t>
      </w:r>
      <w:proofErr w:type="spellEnd"/>
      <w:r w:rsidRPr="00617A78">
        <w:rPr>
          <w:rFonts w:ascii="Times New Roman" w:hAnsi="Times New Roman" w:cs="Times New Roman"/>
          <w:i/>
          <w:sz w:val="20"/>
          <w:szCs w:val="20"/>
        </w:rPr>
        <w:t xml:space="preserve"> </w:t>
      </w:r>
      <w:r w:rsidRPr="00617A78">
        <w:rPr>
          <w:rFonts w:ascii="Times New Roman" w:hAnsi="Times New Roman" w:cs="Times New Roman"/>
          <w:sz w:val="20"/>
          <w:szCs w:val="20"/>
        </w:rPr>
        <w:t xml:space="preserve">and mentioning manifest disregard in a parenthetical following the cite); </w:t>
      </w:r>
      <w:r w:rsidRPr="00617A78">
        <w:rPr>
          <w:rFonts w:ascii="Times New Roman" w:hAnsi="Times New Roman" w:cs="Times New Roman"/>
          <w:i/>
          <w:sz w:val="20"/>
          <w:szCs w:val="20"/>
        </w:rPr>
        <w:t>Shearson/Am. Express, Inc. v. McMahon</w:t>
      </w:r>
      <w:r w:rsidRPr="00617A78">
        <w:rPr>
          <w:rFonts w:ascii="Times New Roman" w:hAnsi="Times New Roman" w:cs="Times New Roman"/>
          <w:sz w:val="20"/>
          <w:szCs w:val="20"/>
        </w:rPr>
        <w:t xml:space="preserve">, 482 U.S. 220, 231 (1987) (citing </w:t>
      </w:r>
      <w:proofErr w:type="spellStart"/>
      <w:r w:rsidRPr="00617A78">
        <w:rPr>
          <w:rFonts w:ascii="Times New Roman" w:hAnsi="Times New Roman" w:cs="Times New Roman"/>
          <w:i/>
          <w:sz w:val="20"/>
          <w:szCs w:val="20"/>
        </w:rPr>
        <w:t>Wilko</w:t>
      </w:r>
      <w:proofErr w:type="spellEnd"/>
      <w:r w:rsidRPr="00617A78">
        <w:rPr>
          <w:rFonts w:ascii="Times New Roman" w:hAnsi="Times New Roman" w:cs="Times New Roman"/>
          <w:i/>
          <w:sz w:val="20"/>
          <w:szCs w:val="20"/>
        </w:rPr>
        <w:t xml:space="preserve"> </w:t>
      </w:r>
      <w:r w:rsidRPr="00617A78">
        <w:rPr>
          <w:rFonts w:ascii="Times New Roman" w:hAnsi="Times New Roman" w:cs="Times New Roman"/>
          <w:sz w:val="20"/>
          <w:szCs w:val="20"/>
        </w:rPr>
        <w:t xml:space="preserve">and quoting its sentence on manifest disregard); </w:t>
      </w:r>
      <w:r w:rsidRPr="00617A78">
        <w:rPr>
          <w:rFonts w:ascii="Times New Roman" w:hAnsi="Times New Roman" w:cs="Times New Roman"/>
          <w:i/>
          <w:sz w:val="20"/>
          <w:szCs w:val="20"/>
        </w:rPr>
        <w:t>McMahon</w:t>
      </w:r>
      <w:r w:rsidRPr="00617A78">
        <w:rPr>
          <w:rFonts w:ascii="Times New Roman" w:hAnsi="Times New Roman" w:cs="Times New Roman"/>
          <w:sz w:val="20"/>
          <w:szCs w:val="20"/>
        </w:rPr>
        <w:t xml:space="preserve">, 482 U.S. at 258-59, 268 (Blackmun, J., concurring in part and dissenting in part)(acknowledging manifest disregard and citing </w:t>
      </w:r>
      <w:proofErr w:type="spellStart"/>
      <w:r w:rsidRPr="00617A78">
        <w:rPr>
          <w:rFonts w:ascii="Times New Roman" w:hAnsi="Times New Roman" w:cs="Times New Roman"/>
          <w:i/>
          <w:sz w:val="20"/>
          <w:szCs w:val="20"/>
        </w:rPr>
        <w:t>Wilko</w:t>
      </w:r>
      <w:proofErr w:type="spellEnd"/>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 xml:space="preserve">Mitsubishi Motors Corp. v. </w:t>
      </w:r>
      <w:proofErr w:type="spellStart"/>
      <w:r w:rsidRPr="00617A78">
        <w:rPr>
          <w:rFonts w:ascii="Times New Roman" w:hAnsi="Times New Roman" w:cs="Times New Roman"/>
          <w:i/>
          <w:sz w:val="20"/>
          <w:szCs w:val="20"/>
        </w:rPr>
        <w:t>Soler</w:t>
      </w:r>
      <w:proofErr w:type="spellEnd"/>
      <w:r w:rsidRPr="00617A78">
        <w:rPr>
          <w:rFonts w:ascii="Times New Roman" w:hAnsi="Times New Roman" w:cs="Times New Roman"/>
          <w:i/>
          <w:sz w:val="20"/>
          <w:szCs w:val="20"/>
        </w:rPr>
        <w:t xml:space="preserve"> Chrysler-Plymouth, Inc.</w:t>
      </w:r>
      <w:r w:rsidRPr="00617A78">
        <w:rPr>
          <w:rFonts w:ascii="Times New Roman" w:hAnsi="Times New Roman" w:cs="Times New Roman"/>
          <w:sz w:val="20"/>
          <w:szCs w:val="20"/>
        </w:rPr>
        <w:t xml:space="preserve">, 473 U.S. 614, 656 (1985) (Stevens, J., dissenting) (stating that arbitration awards may be overturned if they are in manifest disregard of the law)); </w:t>
      </w:r>
      <w:r w:rsidRPr="00617A78">
        <w:rPr>
          <w:rFonts w:ascii="Times New Roman" w:hAnsi="Times New Roman" w:cs="Times New Roman"/>
          <w:i/>
          <w:iCs/>
          <w:sz w:val="20"/>
          <w:szCs w:val="20"/>
        </w:rPr>
        <w:t xml:space="preserve">Stolt-Nielsen S. A. v </w:t>
      </w:r>
      <w:proofErr w:type="spellStart"/>
      <w:r w:rsidRPr="00617A78">
        <w:rPr>
          <w:rFonts w:ascii="Times New Roman" w:hAnsi="Times New Roman" w:cs="Times New Roman"/>
          <w:i/>
          <w:iCs/>
          <w:sz w:val="20"/>
          <w:szCs w:val="20"/>
        </w:rPr>
        <w:t>AnimalFeeds</w:t>
      </w:r>
      <w:proofErr w:type="spellEnd"/>
      <w:r w:rsidRPr="00617A78">
        <w:rPr>
          <w:rFonts w:ascii="Times New Roman" w:hAnsi="Times New Roman" w:cs="Times New Roman"/>
          <w:i/>
          <w:iCs/>
          <w:sz w:val="20"/>
          <w:szCs w:val="20"/>
        </w:rPr>
        <w:t xml:space="preserve"> Int'l Corp.</w:t>
      </w:r>
      <w:r w:rsidRPr="00617A78">
        <w:rPr>
          <w:rFonts w:ascii="Times New Roman" w:hAnsi="Times New Roman" w:cs="Times New Roman"/>
          <w:sz w:val="20"/>
          <w:szCs w:val="20"/>
        </w:rPr>
        <w:t xml:space="preserve">, 559 U.S. 662 (2010). </w:t>
      </w:r>
      <w:r w:rsidRPr="00617A78">
        <w:rPr>
          <w:rFonts w:ascii="Times New Roman" w:hAnsi="Times New Roman" w:cs="Times New Roman"/>
          <w:i/>
          <w:sz w:val="20"/>
          <w:szCs w:val="20"/>
        </w:rPr>
        <w:t>See also</w:t>
      </w:r>
      <w:r w:rsidRPr="00617A78">
        <w:rPr>
          <w:rFonts w:ascii="Times New Roman" w:hAnsi="Times New Roman" w:cs="Times New Roman"/>
          <w:sz w:val="20"/>
          <w:szCs w:val="20"/>
        </w:rPr>
        <w:t xml:space="preserve">, </w:t>
      </w:r>
      <w:proofErr w:type="spellStart"/>
      <w:r w:rsidRPr="00617A78">
        <w:rPr>
          <w:rFonts w:ascii="Times New Roman" w:hAnsi="Times New Roman" w:cs="Times New Roman"/>
          <w:sz w:val="20"/>
          <w:szCs w:val="20"/>
        </w:rPr>
        <w:t>Scodro</w:t>
      </w:r>
      <w:proofErr w:type="spellEnd"/>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_Ref355705725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14</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 xml:space="preserve">, at 567 (“A majority of the Supreme Court has only even hinted approval of the doctrine on one occasion since </w:t>
      </w:r>
      <w:proofErr w:type="spellStart"/>
      <w:r w:rsidRPr="00617A78">
        <w:rPr>
          <w:rFonts w:ascii="Times New Roman" w:hAnsi="Times New Roman" w:cs="Times New Roman"/>
          <w:i/>
          <w:sz w:val="20"/>
          <w:szCs w:val="20"/>
        </w:rPr>
        <w:t>Wilko</w:t>
      </w:r>
      <w:proofErr w:type="spellEnd"/>
      <w:r w:rsidRPr="00617A78">
        <w:rPr>
          <w:rFonts w:ascii="Times New Roman" w:hAnsi="Times New Roman" w:cs="Times New Roman"/>
          <w:sz w:val="20"/>
          <w:szCs w:val="20"/>
        </w:rPr>
        <w:t xml:space="preserve"> was decided in 1953.”). </w:t>
      </w:r>
    </w:p>
  </w:footnote>
  <w:footnote w:id="29">
    <w:p w14:paraId="6ADAA161" w14:textId="444A779D" w:rsidR="00AD3492" w:rsidRPr="00617A78" w:rsidRDefault="00AD3492" w:rsidP="00140F78">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Burch,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_Ref355707198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17</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 at 62.</w:t>
      </w:r>
    </w:p>
  </w:footnote>
  <w:footnote w:id="30">
    <w:p w14:paraId="606E01A5" w14:textId="6F8BC974" w:rsidR="00AD3492" w:rsidRPr="00617A78" w:rsidRDefault="00AD3492" w:rsidP="00140F78">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For more information regarding the various circuits’ recognition, interpretation, and application of manifest disregard following the Court’s statement in </w:t>
      </w:r>
      <w:proofErr w:type="spellStart"/>
      <w:r w:rsidRPr="00617A78">
        <w:rPr>
          <w:rFonts w:ascii="Times New Roman" w:hAnsi="Times New Roman" w:cs="Times New Roman"/>
          <w:i/>
          <w:sz w:val="20"/>
          <w:szCs w:val="20"/>
        </w:rPr>
        <w:t>Wilko</w:t>
      </w:r>
      <w:proofErr w:type="spellEnd"/>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 xml:space="preserve">see </w:t>
      </w:r>
      <w:proofErr w:type="spellStart"/>
      <w:r w:rsidRPr="00617A78">
        <w:rPr>
          <w:rFonts w:ascii="Times New Roman" w:hAnsi="Times New Roman" w:cs="Times New Roman"/>
          <w:sz w:val="20"/>
          <w:szCs w:val="20"/>
        </w:rPr>
        <w:t>LeRoy</w:t>
      </w:r>
      <w:proofErr w:type="spellEnd"/>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_Ref355705725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14</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 xml:space="preserve">, at 160-69; Davis,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_Ref355706240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19</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 xml:space="preserve">, at 94-96; Burch,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_Ref355707198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17</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 xml:space="preserve">, at 62-65; Chen,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_Ref355704712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8</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 xml:space="preserve">, at 1881-1883; Huber,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_Ref355704865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11</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 at 560-63.</w:t>
      </w:r>
    </w:p>
  </w:footnote>
  <w:footnote w:id="31">
    <w:p w14:paraId="3A016018" w14:textId="17E326A1" w:rsidR="00AD3492" w:rsidRPr="00617A78" w:rsidRDefault="00AD3492" w:rsidP="007C587F">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Burch,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_Ref355707198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17</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 at 62.</w:t>
      </w:r>
    </w:p>
  </w:footnote>
  <w:footnote w:id="32">
    <w:p w14:paraId="2C98ED9C" w14:textId="39A03960" w:rsidR="00AD3492" w:rsidRPr="00617A78" w:rsidRDefault="00AD3492">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Stephan </w:t>
      </w:r>
      <w:proofErr w:type="spellStart"/>
      <w:r w:rsidRPr="00617A78">
        <w:rPr>
          <w:rFonts w:ascii="Times New Roman" w:hAnsi="Times New Roman" w:cs="Times New Roman"/>
          <w:sz w:val="20"/>
          <w:szCs w:val="20"/>
        </w:rPr>
        <w:t>Hayford</w:t>
      </w:r>
      <w:proofErr w:type="spellEnd"/>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 xml:space="preserve">Reining in the "Manifest Disregard" of the Law Standard: The Key To Restoring Order To The Law Of </w:t>
      </w:r>
      <w:proofErr w:type="spellStart"/>
      <w:r w:rsidRPr="00617A78">
        <w:rPr>
          <w:rFonts w:ascii="Times New Roman" w:hAnsi="Times New Roman" w:cs="Times New Roman"/>
          <w:i/>
          <w:sz w:val="20"/>
          <w:szCs w:val="20"/>
        </w:rPr>
        <w:t>Vacatur</w:t>
      </w:r>
      <w:proofErr w:type="spellEnd"/>
      <w:r w:rsidRPr="00617A78">
        <w:rPr>
          <w:rFonts w:ascii="Times New Roman" w:hAnsi="Times New Roman" w:cs="Times New Roman"/>
          <w:sz w:val="20"/>
          <w:szCs w:val="20"/>
        </w:rPr>
        <w:t xml:space="preserve">, 1998 J. Disp. </w:t>
      </w:r>
      <w:proofErr w:type="spellStart"/>
      <w:r w:rsidRPr="00617A78">
        <w:rPr>
          <w:rFonts w:ascii="Times New Roman" w:hAnsi="Times New Roman" w:cs="Times New Roman"/>
          <w:sz w:val="20"/>
          <w:szCs w:val="20"/>
        </w:rPr>
        <w:t>Resol</w:t>
      </w:r>
      <w:proofErr w:type="spellEnd"/>
      <w:r w:rsidRPr="00617A78">
        <w:rPr>
          <w:rFonts w:ascii="Times New Roman" w:hAnsi="Times New Roman" w:cs="Times New Roman"/>
          <w:sz w:val="20"/>
          <w:szCs w:val="20"/>
        </w:rPr>
        <w:t xml:space="preserve">. 117. </w:t>
      </w:r>
    </w:p>
  </w:footnote>
  <w:footnote w:id="33">
    <w:p w14:paraId="61D04358" w14:textId="274A52B1" w:rsidR="00AD3492" w:rsidRPr="00617A78" w:rsidRDefault="00AD3492" w:rsidP="007C587F">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 xml:space="preserve">Id. </w:t>
      </w:r>
      <w:r w:rsidRPr="00617A78">
        <w:rPr>
          <w:rFonts w:ascii="Times New Roman" w:hAnsi="Times New Roman" w:cs="Times New Roman"/>
          <w:sz w:val="20"/>
          <w:szCs w:val="20"/>
        </w:rPr>
        <w:t xml:space="preserve">at 125-24 (citing </w:t>
      </w:r>
      <w:r w:rsidRPr="00617A78">
        <w:rPr>
          <w:rFonts w:ascii="Times New Roman" w:hAnsi="Times New Roman" w:cs="Times New Roman"/>
          <w:i/>
          <w:sz w:val="20"/>
          <w:szCs w:val="20"/>
        </w:rPr>
        <w:t xml:space="preserve">Prudential-Bache </w:t>
      </w:r>
      <w:proofErr w:type="spellStart"/>
      <w:r w:rsidRPr="00617A78">
        <w:rPr>
          <w:rFonts w:ascii="Times New Roman" w:hAnsi="Times New Roman" w:cs="Times New Roman"/>
          <w:i/>
          <w:sz w:val="20"/>
          <w:szCs w:val="20"/>
        </w:rPr>
        <w:t>Secs</w:t>
      </w:r>
      <w:proofErr w:type="spellEnd"/>
      <w:r w:rsidRPr="00617A78">
        <w:rPr>
          <w:rFonts w:ascii="Times New Roman" w:hAnsi="Times New Roman" w:cs="Times New Roman"/>
          <w:i/>
          <w:sz w:val="20"/>
          <w:szCs w:val="20"/>
        </w:rPr>
        <w:t>., Inc., v. Tanner</w:t>
      </w:r>
      <w:r w:rsidRPr="00617A78">
        <w:rPr>
          <w:rFonts w:ascii="Times New Roman" w:hAnsi="Times New Roman" w:cs="Times New Roman"/>
          <w:sz w:val="20"/>
          <w:szCs w:val="20"/>
        </w:rPr>
        <w:t xml:space="preserve">, 72 F.3d 234, 240 (1st Cir. 1995); </w:t>
      </w:r>
      <w:r w:rsidRPr="00617A78">
        <w:rPr>
          <w:rFonts w:ascii="Times New Roman" w:hAnsi="Times New Roman" w:cs="Times New Roman"/>
          <w:i/>
          <w:sz w:val="20"/>
          <w:szCs w:val="20"/>
        </w:rPr>
        <w:t xml:space="preserve">Merrill Lynch, Pierce, </w:t>
      </w:r>
      <w:proofErr w:type="spellStart"/>
      <w:r w:rsidRPr="00617A78">
        <w:rPr>
          <w:rFonts w:ascii="Times New Roman" w:hAnsi="Times New Roman" w:cs="Times New Roman"/>
          <w:i/>
          <w:sz w:val="20"/>
          <w:szCs w:val="20"/>
        </w:rPr>
        <w:t>Fenner</w:t>
      </w:r>
      <w:proofErr w:type="spellEnd"/>
      <w:r w:rsidRPr="00617A78">
        <w:rPr>
          <w:rFonts w:ascii="Times New Roman" w:hAnsi="Times New Roman" w:cs="Times New Roman"/>
          <w:i/>
          <w:sz w:val="20"/>
          <w:szCs w:val="20"/>
        </w:rPr>
        <w:t xml:space="preserve"> &amp; Smith, Inc.</w:t>
      </w:r>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 xml:space="preserve">v. </w:t>
      </w:r>
      <w:proofErr w:type="spellStart"/>
      <w:r w:rsidRPr="00617A78">
        <w:rPr>
          <w:rFonts w:ascii="Times New Roman" w:hAnsi="Times New Roman" w:cs="Times New Roman"/>
          <w:i/>
          <w:sz w:val="20"/>
          <w:szCs w:val="20"/>
        </w:rPr>
        <w:t>Jaros</w:t>
      </w:r>
      <w:proofErr w:type="spellEnd"/>
      <w:r w:rsidRPr="00617A78">
        <w:rPr>
          <w:rFonts w:ascii="Times New Roman" w:hAnsi="Times New Roman" w:cs="Times New Roman"/>
          <w:sz w:val="20"/>
          <w:szCs w:val="20"/>
        </w:rPr>
        <w:t xml:space="preserve">, 70 F.3d 418, 421 (6th Cir. 1995); </w:t>
      </w:r>
      <w:proofErr w:type="spellStart"/>
      <w:r w:rsidRPr="00617A78">
        <w:rPr>
          <w:rFonts w:ascii="Times New Roman" w:hAnsi="Times New Roman" w:cs="Times New Roman"/>
          <w:i/>
          <w:sz w:val="20"/>
          <w:szCs w:val="20"/>
        </w:rPr>
        <w:t>Advest</w:t>
      </w:r>
      <w:proofErr w:type="spellEnd"/>
      <w:r w:rsidRPr="00617A78">
        <w:rPr>
          <w:rFonts w:ascii="Times New Roman" w:hAnsi="Times New Roman" w:cs="Times New Roman"/>
          <w:i/>
          <w:sz w:val="20"/>
          <w:szCs w:val="20"/>
        </w:rPr>
        <w:t>, Inc. v. McCarthy</w:t>
      </w:r>
      <w:r w:rsidRPr="00617A78">
        <w:rPr>
          <w:rFonts w:ascii="Times New Roman" w:hAnsi="Times New Roman" w:cs="Times New Roman"/>
          <w:sz w:val="20"/>
          <w:szCs w:val="20"/>
        </w:rPr>
        <w:t xml:space="preserve">, 914 F.2d 6, 10 (1st Cir. 1990)); Burch,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_Ref355707198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17</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 at 62 (citation omitted).</w:t>
      </w:r>
    </w:p>
  </w:footnote>
  <w:footnote w:id="34">
    <w:p w14:paraId="0DB483E1" w14:textId="67348496" w:rsidR="00AD3492" w:rsidRPr="00617A78" w:rsidRDefault="00AD3492" w:rsidP="007C587F">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Burch,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_Ref355707198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17</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 xml:space="preserve">, at 63. </w:t>
      </w:r>
    </w:p>
  </w:footnote>
  <w:footnote w:id="35">
    <w:p w14:paraId="6133FA58" w14:textId="6A8809C7" w:rsidR="00AD3492" w:rsidRPr="00617A78" w:rsidRDefault="00AD3492" w:rsidP="007C587F">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 xml:space="preserve">Id. </w:t>
      </w:r>
      <w:r w:rsidRPr="00617A78">
        <w:rPr>
          <w:rFonts w:ascii="Times New Roman" w:hAnsi="Times New Roman" w:cs="Times New Roman"/>
          <w:sz w:val="20"/>
          <w:szCs w:val="20"/>
        </w:rPr>
        <w:t xml:space="preserve">at 64 (citing </w:t>
      </w:r>
      <w:proofErr w:type="spellStart"/>
      <w:r w:rsidRPr="00617A78">
        <w:rPr>
          <w:rFonts w:ascii="Times New Roman" w:hAnsi="Times New Roman" w:cs="Times New Roman"/>
          <w:sz w:val="20"/>
          <w:szCs w:val="20"/>
        </w:rPr>
        <w:t>Hayford</w:t>
      </w:r>
      <w:proofErr w:type="spellEnd"/>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_Ref355708431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32</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 xml:space="preserve">, at 128-32 (internal citation omitted)).  </w:t>
      </w:r>
    </w:p>
  </w:footnote>
  <w:footnote w:id="36">
    <w:p w14:paraId="2217F73C" w14:textId="0B5D573A" w:rsidR="00AD3492" w:rsidRPr="00617A78" w:rsidRDefault="00AD3492" w:rsidP="007C587F">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Id</w:t>
      </w:r>
      <w:r w:rsidRPr="00617A78">
        <w:rPr>
          <w:rFonts w:ascii="Times New Roman" w:hAnsi="Times New Roman" w:cs="Times New Roman"/>
          <w:sz w:val="20"/>
          <w:szCs w:val="20"/>
        </w:rPr>
        <w:t xml:space="preserve">. at 62-64. </w:t>
      </w:r>
      <w:r w:rsidRPr="00617A78">
        <w:rPr>
          <w:rFonts w:ascii="Times New Roman" w:hAnsi="Times New Roman" w:cs="Times New Roman"/>
          <w:i/>
          <w:sz w:val="20"/>
          <w:szCs w:val="20"/>
        </w:rPr>
        <w:t>See also</w:t>
      </w:r>
      <w:r w:rsidRPr="00617A78">
        <w:rPr>
          <w:rFonts w:ascii="Times New Roman" w:hAnsi="Times New Roman" w:cs="Times New Roman"/>
          <w:sz w:val="20"/>
          <w:szCs w:val="20"/>
        </w:rPr>
        <w:t xml:space="preserve">, </w:t>
      </w:r>
      <w:proofErr w:type="spellStart"/>
      <w:r w:rsidRPr="00617A78">
        <w:rPr>
          <w:rFonts w:ascii="Times New Roman" w:hAnsi="Times New Roman" w:cs="Times New Roman"/>
          <w:sz w:val="20"/>
          <w:szCs w:val="20"/>
        </w:rPr>
        <w:t>Hayford</w:t>
      </w:r>
      <w:proofErr w:type="spellEnd"/>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_Ref355708431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32</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 xml:space="preserve">, at 125-132. </w:t>
      </w:r>
    </w:p>
  </w:footnote>
  <w:footnote w:id="37">
    <w:p w14:paraId="0C74768B" w14:textId="018600C2" w:rsidR="00AD3492" w:rsidRPr="00617A78" w:rsidRDefault="00AD3492" w:rsidP="007C587F">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Burch,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_Ref355707198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17</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 xml:space="preserve">, at 62 (citation omitted).  </w:t>
      </w:r>
    </w:p>
  </w:footnote>
  <w:footnote w:id="38">
    <w:p w14:paraId="6AF45962" w14:textId="4AA16C88" w:rsidR="00AD3492" w:rsidRPr="00617A78" w:rsidRDefault="00AD3492" w:rsidP="007C587F">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 xml:space="preserve">Id. </w:t>
      </w:r>
    </w:p>
  </w:footnote>
  <w:footnote w:id="39">
    <w:p w14:paraId="3B15E8DB" w14:textId="34FB42D4" w:rsidR="00AD3492" w:rsidRPr="00617A78" w:rsidRDefault="00AD3492" w:rsidP="007C587F">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proofErr w:type="spellStart"/>
      <w:r w:rsidRPr="00617A78">
        <w:rPr>
          <w:rFonts w:ascii="Times New Roman" w:hAnsi="Times New Roman" w:cs="Times New Roman"/>
          <w:i/>
          <w:sz w:val="20"/>
          <w:szCs w:val="20"/>
        </w:rPr>
        <w:t>Advest</w:t>
      </w:r>
      <w:proofErr w:type="spellEnd"/>
      <w:r w:rsidRPr="00617A78">
        <w:rPr>
          <w:rFonts w:ascii="Times New Roman" w:hAnsi="Times New Roman" w:cs="Times New Roman"/>
          <w:i/>
          <w:sz w:val="20"/>
          <w:szCs w:val="20"/>
        </w:rPr>
        <w:t>, Inc. v. McCarthy</w:t>
      </w:r>
      <w:r w:rsidRPr="00617A78">
        <w:rPr>
          <w:rFonts w:ascii="Times New Roman" w:hAnsi="Times New Roman" w:cs="Times New Roman"/>
          <w:sz w:val="20"/>
          <w:szCs w:val="20"/>
        </w:rPr>
        <w:t xml:space="preserve">, 914 F.2d 6, 10 (1st Cir. 1990) (quoting </w:t>
      </w:r>
      <w:r w:rsidRPr="00617A78">
        <w:rPr>
          <w:rFonts w:ascii="Times New Roman" w:hAnsi="Times New Roman" w:cs="Times New Roman"/>
          <w:i/>
          <w:iCs/>
          <w:sz w:val="20"/>
          <w:szCs w:val="20"/>
        </w:rPr>
        <w:t>O.R. Securities, Inc. v. Professional Planning Assoc., Inc.</w:t>
      </w:r>
      <w:r w:rsidRPr="00617A78">
        <w:rPr>
          <w:rFonts w:ascii="Times New Roman" w:hAnsi="Times New Roman" w:cs="Times New Roman"/>
          <w:sz w:val="20"/>
          <w:szCs w:val="20"/>
        </w:rPr>
        <w:t xml:space="preserve">, 857 F.2d 742, 747 (11th Cir. 1988)). </w:t>
      </w:r>
    </w:p>
  </w:footnote>
  <w:footnote w:id="40">
    <w:p w14:paraId="01323FE7" w14:textId="17C1C01E" w:rsidR="00AD3492" w:rsidRPr="00617A78" w:rsidRDefault="00AD3492" w:rsidP="007C587F">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Id.</w:t>
      </w:r>
      <w:r w:rsidRPr="00617A78">
        <w:rPr>
          <w:rFonts w:ascii="Times New Roman" w:hAnsi="Times New Roman" w:cs="Times New Roman"/>
          <w:sz w:val="20"/>
          <w:szCs w:val="20"/>
        </w:rPr>
        <w:t xml:space="preserve"> (citing </w:t>
      </w:r>
      <w:r w:rsidRPr="00617A78">
        <w:rPr>
          <w:rFonts w:ascii="Times New Roman" w:hAnsi="Times New Roman" w:cs="Times New Roman"/>
          <w:i/>
          <w:iCs/>
          <w:sz w:val="20"/>
          <w:szCs w:val="20"/>
        </w:rPr>
        <w:t xml:space="preserve">Merrill Lynch, Pierce, </w:t>
      </w:r>
      <w:proofErr w:type="spellStart"/>
      <w:r w:rsidRPr="00617A78">
        <w:rPr>
          <w:rFonts w:ascii="Times New Roman" w:hAnsi="Times New Roman" w:cs="Times New Roman"/>
          <w:i/>
          <w:iCs/>
          <w:sz w:val="20"/>
          <w:szCs w:val="20"/>
        </w:rPr>
        <w:t>Fenner</w:t>
      </w:r>
      <w:proofErr w:type="spellEnd"/>
      <w:r w:rsidRPr="00617A78">
        <w:rPr>
          <w:rFonts w:ascii="Times New Roman" w:hAnsi="Times New Roman" w:cs="Times New Roman"/>
          <w:i/>
          <w:iCs/>
          <w:sz w:val="20"/>
          <w:szCs w:val="20"/>
        </w:rPr>
        <w:t xml:space="preserve"> &amp; Smith, Inc. v </w:t>
      </w:r>
      <w:proofErr w:type="spellStart"/>
      <w:r w:rsidRPr="00617A78">
        <w:rPr>
          <w:rFonts w:ascii="Times New Roman" w:hAnsi="Times New Roman" w:cs="Times New Roman"/>
          <w:i/>
          <w:iCs/>
          <w:sz w:val="20"/>
          <w:szCs w:val="20"/>
        </w:rPr>
        <w:t>Bobker</w:t>
      </w:r>
      <w:proofErr w:type="spellEnd"/>
      <w:r w:rsidRPr="00617A78">
        <w:rPr>
          <w:rFonts w:ascii="Times New Roman" w:hAnsi="Times New Roman" w:cs="Times New Roman"/>
          <w:sz w:val="20"/>
          <w:szCs w:val="20"/>
        </w:rPr>
        <w:t>, 808 F.2d 930, 933 (2d Cir. 1986))</w:t>
      </w:r>
      <w:r>
        <w:rPr>
          <w:rFonts w:ascii="Times New Roman" w:hAnsi="Times New Roman" w:cs="Times New Roman"/>
          <w:sz w:val="20"/>
          <w:szCs w:val="20"/>
        </w:rPr>
        <w:t>.</w:t>
      </w:r>
    </w:p>
  </w:footnote>
  <w:footnote w:id="41">
    <w:p w14:paraId="6AC9DF23" w14:textId="6FEE06D0" w:rsidR="00AD3492" w:rsidRPr="00617A78" w:rsidRDefault="00AD3492" w:rsidP="007C587F">
      <w:pPr>
        <w:jc w:val="both"/>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Note, however, that the court in </w:t>
      </w:r>
      <w:proofErr w:type="spellStart"/>
      <w:r w:rsidRPr="00617A78">
        <w:rPr>
          <w:rFonts w:ascii="Times New Roman" w:hAnsi="Times New Roman" w:cs="Times New Roman"/>
          <w:i/>
          <w:sz w:val="20"/>
          <w:szCs w:val="20"/>
        </w:rPr>
        <w:t>Advest</w:t>
      </w:r>
      <w:proofErr w:type="spellEnd"/>
      <w:r w:rsidRPr="00617A78">
        <w:rPr>
          <w:rFonts w:ascii="Times New Roman" w:hAnsi="Times New Roman" w:cs="Times New Roman"/>
          <w:sz w:val="20"/>
          <w:szCs w:val="20"/>
        </w:rPr>
        <w:t xml:space="preserve"> did find that, “[i]n certain circumstances, the governing law may have such widespread familiarity, pristine clarity, and irrefutable applicability that a court could assume the arbitrators knew the rule and, notwithstanding, swept it under the rug.” </w:t>
      </w:r>
      <w:r w:rsidRPr="00617A78">
        <w:rPr>
          <w:rFonts w:ascii="Times New Roman" w:hAnsi="Times New Roman" w:cs="Times New Roman"/>
          <w:i/>
          <w:sz w:val="20"/>
          <w:szCs w:val="20"/>
        </w:rPr>
        <w:t>Id</w:t>
      </w:r>
      <w:r w:rsidRPr="00617A78">
        <w:rPr>
          <w:rFonts w:ascii="Times New Roman" w:hAnsi="Times New Roman" w:cs="Times New Roman"/>
          <w:sz w:val="20"/>
          <w:szCs w:val="20"/>
        </w:rPr>
        <w:t>.</w:t>
      </w:r>
      <w:r w:rsidRPr="00617A78">
        <w:rPr>
          <w:rFonts w:ascii="Times New Roman" w:hAnsi="Times New Roman" w:cs="Times New Roman"/>
          <w:i/>
          <w:sz w:val="20"/>
          <w:szCs w:val="20"/>
        </w:rPr>
        <w:t xml:space="preserve"> </w:t>
      </w:r>
      <w:r w:rsidRPr="00617A78">
        <w:rPr>
          <w:rFonts w:ascii="Times New Roman" w:hAnsi="Times New Roman" w:cs="Times New Roman"/>
          <w:sz w:val="20"/>
          <w:szCs w:val="20"/>
        </w:rPr>
        <w:t>However, the court found that “[t]he case at bar</w:t>
      </w:r>
      <w:r>
        <w:rPr>
          <w:rFonts w:ascii="Times New Roman" w:hAnsi="Times New Roman" w:cs="Times New Roman"/>
          <w:sz w:val="20"/>
          <w:szCs w:val="20"/>
        </w:rPr>
        <w:t xml:space="preserve"> </w:t>
      </w:r>
      <w:r w:rsidRPr="00617A78">
        <w:rPr>
          <w:rFonts w:ascii="Times New Roman" w:hAnsi="Times New Roman" w:cs="Times New Roman"/>
          <w:sz w:val="20"/>
          <w:szCs w:val="20"/>
        </w:rPr>
        <w:t>…</w:t>
      </w:r>
      <w:r>
        <w:rPr>
          <w:rFonts w:ascii="Times New Roman" w:hAnsi="Times New Roman" w:cs="Times New Roman"/>
          <w:sz w:val="20"/>
          <w:szCs w:val="20"/>
        </w:rPr>
        <w:t xml:space="preserve"> </w:t>
      </w:r>
      <w:r w:rsidRPr="00617A78">
        <w:rPr>
          <w:rFonts w:ascii="Times New Roman" w:hAnsi="Times New Roman" w:cs="Times New Roman"/>
          <w:sz w:val="20"/>
          <w:szCs w:val="20"/>
        </w:rPr>
        <w:t>is not cut to so rare a patter</w:t>
      </w:r>
      <w:r>
        <w:rPr>
          <w:rFonts w:ascii="Times New Roman" w:hAnsi="Times New Roman" w:cs="Times New Roman"/>
          <w:sz w:val="20"/>
          <w:szCs w:val="20"/>
        </w:rPr>
        <w:t>n</w:t>
      </w:r>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Id.</w:t>
      </w:r>
      <w:r w:rsidRPr="00617A78">
        <w:rPr>
          <w:rFonts w:ascii="Times New Roman" w:hAnsi="Times New Roman" w:cs="Times New Roman"/>
          <w:sz w:val="20"/>
          <w:szCs w:val="20"/>
        </w:rPr>
        <w:t xml:space="preserve"> </w:t>
      </w:r>
    </w:p>
  </w:footnote>
  <w:footnote w:id="42">
    <w:p w14:paraId="5D823BC6" w14:textId="1AEA24DE" w:rsidR="00AD3492" w:rsidRPr="00617A78" w:rsidRDefault="00AD3492" w:rsidP="007C587F">
      <w:pPr>
        <w:widowControl w:val="0"/>
        <w:autoSpaceDE w:val="0"/>
        <w:autoSpaceDN w:val="0"/>
        <w:adjustRightInd w:val="0"/>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 xml:space="preserve">See </w:t>
      </w:r>
      <w:r w:rsidRPr="00617A78">
        <w:rPr>
          <w:rFonts w:ascii="Times New Roman" w:hAnsi="Times New Roman" w:cs="Times New Roman"/>
          <w:i/>
          <w:iCs/>
          <w:sz w:val="20"/>
          <w:szCs w:val="20"/>
        </w:rPr>
        <w:t xml:space="preserve">O.R. Sec., Inc. v </w:t>
      </w:r>
      <w:proofErr w:type="spellStart"/>
      <w:r w:rsidRPr="00617A78">
        <w:rPr>
          <w:rFonts w:ascii="Times New Roman" w:hAnsi="Times New Roman" w:cs="Times New Roman"/>
          <w:i/>
          <w:iCs/>
          <w:sz w:val="20"/>
          <w:szCs w:val="20"/>
        </w:rPr>
        <w:t>Prof'l</w:t>
      </w:r>
      <w:proofErr w:type="spellEnd"/>
      <w:r w:rsidRPr="00617A78">
        <w:rPr>
          <w:rFonts w:ascii="Times New Roman" w:hAnsi="Times New Roman" w:cs="Times New Roman"/>
          <w:i/>
          <w:iCs/>
          <w:sz w:val="20"/>
          <w:szCs w:val="20"/>
        </w:rPr>
        <w:t xml:space="preserve"> Planning Assocs.</w:t>
      </w:r>
      <w:r w:rsidRPr="00617A78">
        <w:rPr>
          <w:rFonts w:ascii="Times New Roman" w:hAnsi="Times New Roman" w:cs="Times New Roman"/>
          <w:sz w:val="20"/>
          <w:szCs w:val="20"/>
        </w:rPr>
        <w:t>, 857 F.2d 742, 747 (11th Cir 1988) (“In fact, when the arbitrators do not give their reasons, it is nearly impossible for the court to determine whether they acted in disregard of the law.”)</w:t>
      </w:r>
    </w:p>
  </w:footnote>
  <w:footnote w:id="43">
    <w:p w14:paraId="683BF0B8" w14:textId="1AF8673F" w:rsidR="00AD3492" w:rsidRPr="00617A78" w:rsidRDefault="00AD3492" w:rsidP="007C587F">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Burch,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_Ref355707198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17</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 xml:space="preserve">, at 63 (citing Norman S. Posner, </w:t>
      </w:r>
      <w:r w:rsidRPr="00617A78">
        <w:rPr>
          <w:rFonts w:ascii="Times New Roman" w:hAnsi="Times New Roman" w:cs="Times New Roman"/>
          <w:i/>
          <w:sz w:val="20"/>
          <w:szCs w:val="20"/>
        </w:rPr>
        <w:t>Judicial Review of Arbitration Awards: Manifest Disregard of the Law</w:t>
      </w:r>
      <w:r w:rsidRPr="00617A78">
        <w:rPr>
          <w:rFonts w:ascii="Times New Roman" w:hAnsi="Times New Roman" w:cs="Times New Roman"/>
          <w:sz w:val="20"/>
          <w:szCs w:val="20"/>
        </w:rPr>
        <w:t xml:space="preserve">, 64 Brook. L. Rev. 471, 505-506 (1998)(“given the fact that arbitrators seldom write opinions explaining their decisions, there is little likelihood that a losing party in an arbitration will be able to persuade a reviewing court that the arbitrators manifestly disregarded the law.”)).   </w:t>
      </w:r>
    </w:p>
  </w:footnote>
  <w:footnote w:id="44">
    <w:p w14:paraId="5E8EC238" w14:textId="2604AF49" w:rsidR="00AD3492" w:rsidRPr="00617A78" w:rsidRDefault="00AD3492" w:rsidP="007C587F">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Id</w:t>
      </w:r>
      <w:r w:rsidRPr="00617A78">
        <w:rPr>
          <w:rFonts w:ascii="Times New Roman" w:hAnsi="Times New Roman" w:cs="Times New Roman"/>
          <w:sz w:val="20"/>
          <w:szCs w:val="20"/>
        </w:rPr>
        <w:t>.</w:t>
      </w:r>
      <w:r w:rsidRPr="00617A78">
        <w:rPr>
          <w:rFonts w:ascii="Times New Roman" w:hAnsi="Times New Roman" w:cs="Times New Roman"/>
          <w:i/>
          <w:sz w:val="20"/>
          <w:szCs w:val="20"/>
        </w:rPr>
        <w:t xml:space="preserve"> </w:t>
      </w:r>
    </w:p>
  </w:footnote>
  <w:footnote w:id="45">
    <w:p w14:paraId="25BDD675" w14:textId="58D53887" w:rsidR="00AD3492" w:rsidRPr="00617A78" w:rsidRDefault="00AD3492" w:rsidP="007C587F">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Id</w:t>
      </w:r>
      <w:r w:rsidRPr="00617A78">
        <w:rPr>
          <w:rFonts w:ascii="Times New Roman" w:hAnsi="Times New Roman" w:cs="Times New Roman"/>
          <w:sz w:val="20"/>
          <w:szCs w:val="20"/>
        </w:rPr>
        <w:t xml:space="preserve">. </w:t>
      </w:r>
    </w:p>
  </w:footnote>
  <w:footnote w:id="46">
    <w:p w14:paraId="7ED9007F" w14:textId="50B26E5C" w:rsidR="00AD3492" w:rsidRPr="00617A78" w:rsidRDefault="00AD3492" w:rsidP="007C587F">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Id</w:t>
      </w:r>
      <w:r w:rsidRPr="00617A78">
        <w:rPr>
          <w:rFonts w:ascii="Times New Roman" w:hAnsi="Times New Roman" w:cs="Times New Roman"/>
          <w:sz w:val="20"/>
          <w:szCs w:val="20"/>
        </w:rPr>
        <w:t>.</w:t>
      </w:r>
      <w:r w:rsidRPr="00617A78">
        <w:rPr>
          <w:rFonts w:ascii="Times New Roman" w:hAnsi="Times New Roman" w:cs="Times New Roman"/>
          <w:i/>
          <w:sz w:val="20"/>
          <w:szCs w:val="20"/>
        </w:rPr>
        <w:t xml:space="preserve"> </w:t>
      </w:r>
      <w:r w:rsidRPr="00617A78">
        <w:rPr>
          <w:rFonts w:ascii="Times New Roman" w:hAnsi="Times New Roman" w:cs="Times New Roman"/>
          <w:sz w:val="20"/>
          <w:szCs w:val="20"/>
        </w:rPr>
        <w:t xml:space="preserve"> </w:t>
      </w:r>
    </w:p>
  </w:footnote>
  <w:footnote w:id="47">
    <w:p w14:paraId="65F4F89A" w14:textId="19884DC7" w:rsidR="00AD3492" w:rsidRPr="00617A78" w:rsidRDefault="00AD3492" w:rsidP="00D1527F">
      <w:pPr>
        <w:widowControl w:val="0"/>
        <w:autoSpaceDE w:val="0"/>
        <w:autoSpaceDN w:val="0"/>
        <w:adjustRightInd w:val="0"/>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Id</w:t>
      </w:r>
      <w:r w:rsidRPr="00617A78">
        <w:rPr>
          <w:rFonts w:ascii="Times New Roman" w:hAnsi="Times New Roman" w:cs="Times New Roman"/>
          <w:sz w:val="20"/>
          <w:szCs w:val="20"/>
        </w:rPr>
        <w:t xml:space="preserve">.; </w:t>
      </w:r>
      <w:proofErr w:type="spellStart"/>
      <w:r w:rsidRPr="00617A78">
        <w:rPr>
          <w:rFonts w:ascii="Times New Roman" w:hAnsi="Times New Roman" w:cs="Times New Roman"/>
          <w:sz w:val="20"/>
          <w:szCs w:val="20"/>
        </w:rPr>
        <w:t>Hayford</w:t>
      </w:r>
      <w:proofErr w:type="spellEnd"/>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_Ref355708431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32</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 xml:space="preserve">, at 127-128 (“This second model for the ‘manifest disregard’ of the law analysis is the most troublesome of the three…. It raises the prospect of </w:t>
      </w:r>
      <w:proofErr w:type="spellStart"/>
      <w:r w:rsidRPr="00617A78">
        <w:rPr>
          <w:rFonts w:ascii="Times New Roman" w:hAnsi="Times New Roman" w:cs="Times New Roman"/>
          <w:sz w:val="20"/>
          <w:szCs w:val="20"/>
        </w:rPr>
        <w:t>vacatur</w:t>
      </w:r>
      <w:proofErr w:type="spellEnd"/>
      <w:r w:rsidRPr="00617A78">
        <w:rPr>
          <w:rFonts w:ascii="Times New Roman" w:hAnsi="Times New Roman" w:cs="Times New Roman"/>
          <w:sz w:val="20"/>
          <w:szCs w:val="20"/>
        </w:rPr>
        <w:t xml:space="preserve"> when a party believes that (i) the controlling law is beyond dispute, and (ii) the award is clearly inconsistent with that law. … Reduced to its essence, this second approach to the ‘manifest disregard’ of the law analysis consists of nothing more than a determination of whether the arbitrator made an error of law that a reviewing court is unwilling to tolerate.”)</w:t>
      </w:r>
      <w:r>
        <w:rPr>
          <w:rFonts w:ascii="Times New Roman" w:hAnsi="Times New Roman" w:cs="Times New Roman"/>
          <w:sz w:val="20"/>
          <w:szCs w:val="20"/>
        </w:rPr>
        <w:t>.</w:t>
      </w:r>
    </w:p>
  </w:footnote>
  <w:footnote w:id="48">
    <w:p w14:paraId="01F21E84" w14:textId="5461DBC5" w:rsidR="00AD3492" w:rsidRPr="00617A78" w:rsidRDefault="00AD3492" w:rsidP="007C587F">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Burch,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_Ref355707198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17</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 xml:space="preserve">, at 63 (citation omitted). </w:t>
      </w:r>
    </w:p>
  </w:footnote>
  <w:footnote w:id="49">
    <w:p w14:paraId="40895704" w14:textId="5C667E38" w:rsidR="00AD3492" w:rsidRPr="00617A78" w:rsidRDefault="00AD3492" w:rsidP="007C587F">
      <w:pPr>
        <w:widowControl w:val="0"/>
        <w:autoSpaceDE w:val="0"/>
        <w:autoSpaceDN w:val="0"/>
        <w:adjustRightInd w:val="0"/>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proofErr w:type="spellStart"/>
      <w:r w:rsidRPr="00617A78">
        <w:rPr>
          <w:rFonts w:ascii="Times New Roman" w:hAnsi="Times New Roman" w:cs="Times New Roman"/>
          <w:i/>
          <w:iCs/>
          <w:sz w:val="20"/>
          <w:szCs w:val="20"/>
        </w:rPr>
        <w:t>Willemijn</w:t>
      </w:r>
      <w:proofErr w:type="spellEnd"/>
      <w:r w:rsidRPr="00617A78">
        <w:rPr>
          <w:rFonts w:ascii="Times New Roman" w:hAnsi="Times New Roman" w:cs="Times New Roman"/>
          <w:i/>
          <w:iCs/>
          <w:sz w:val="20"/>
          <w:szCs w:val="20"/>
        </w:rPr>
        <w:t xml:space="preserve"> </w:t>
      </w:r>
      <w:proofErr w:type="spellStart"/>
      <w:r w:rsidRPr="00617A78">
        <w:rPr>
          <w:rFonts w:ascii="Times New Roman" w:hAnsi="Times New Roman" w:cs="Times New Roman"/>
          <w:i/>
          <w:iCs/>
          <w:sz w:val="20"/>
          <w:szCs w:val="20"/>
        </w:rPr>
        <w:t>Houdstermaatschappij</w:t>
      </w:r>
      <w:proofErr w:type="spellEnd"/>
      <w:r w:rsidRPr="00617A78">
        <w:rPr>
          <w:rFonts w:ascii="Times New Roman" w:hAnsi="Times New Roman" w:cs="Times New Roman"/>
          <w:i/>
          <w:iCs/>
          <w:sz w:val="20"/>
          <w:szCs w:val="20"/>
        </w:rPr>
        <w:t>, BV v. Std. Microsystems Corp.</w:t>
      </w:r>
      <w:r w:rsidRPr="00617A78">
        <w:rPr>
          <w:rFonts w:ascii="Times New Roman" w:hAnsi="Times New Roman" w:cs="Times New Roman"/>
          <w:sz w:val="20"/>
          <w:szCs w:val="20"/>
        </w:rPr>
        <w:t>, 103 F.3d 9, 12-13 (2d Cir. 1997).</w:t>
      </w:r>
    </w:p>
  </w:footnote>
  <w:footnote w:id="50">
    <w:p w14:paraId="6FDBFC9C" w14:textId="00F1872A" w:rsidR="00AD3492" w:rsidRPr="00617A78" w:rsidRDefault="00AD3492" w:rsidP="007C587F">
      <w:pPr>
        <w:widowControl w:val="0"/>
        <w:autoSpaceDE w:val="0"/>
        <w:autoSpaceDN w:val="0"/>
        <w:adjustRightInd w:val="0"/>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Id</w:t>
      </w:r>
      <w:r w:rsidRPr="00617A78">
        <w:rPr>
          <w:rFonts w:ascii="Times New Roman" w:hAnsi="Times New Roman" w:cs="Times New Roman"/>
          <w:sz w:val="20"/>
          <w:szCs w:val="20"/>
        </w:rPr>
        <w:t xml:space="preserve">. (citing </w:t>
      </w:r>
      <w:r w:rsidRPr="00617A78">
        <w:rPr>
          <w:rFonts w:ascii="Times New Roman" w:hAnsi="Times New Roman" w:cs="Times New Roman"/>
          <w:i/>
          <w:iCs/>
          <w:sz w:val="20"/>
          <w:szCs w:val="20"/>
        </w:rPr>
        <w:t>Siegel v Titan Indus. Corp.</w:t>
      </w:r>
      <w:r w:rsidRPr="00617A78">
        <w:rPr>
          <w:rFonts w:ascii="Times New Roman" w:hAnsi="Times New Roman" w:cs="Times New Roman"/>
          <w:sz w:val="20"/>
          <w:szCs w:val="20"/>
        </w:rPr>
        <w:t xml:space="preserve">, 779 F.2d 891, 893 (2d Cir. 1985) (quoting </w:t>
      </w:r>
      <w:r w:rsidRPr="00617A78">
        <w:rPr>
          <w:rFonts w:ascii="Times New Roman" w:hAnsi="Times New Roman" w:cs="Times New Roman"/>
          <w:i/>
          <w:iCs/>
          <w:sz w:val="20"/>
          <w:szCs w:val="20"/>
        </w:rPr>
        <w:t>Bell Aerospace Co. Div. of Textron</w:t>
      </w:r>
      <w:r w:rsidRPr="00617A78">
        <w:rPr>
          <w:rFonts w:ascii="Times New Roman" w:hAnsi="Times New Roman" w:cs="Times New Roman"/>
          <w:sz w:val="20"/>
          <w:szCs w:val="20"/>
        </w:rPr>
        <w:t xml:space="preserve"> v. </w:t>
      </w:r>
      <w:r w:rsidRPr="00617A78">
        <w:rPr>
          <w:rFonts w:ascii="Times New Roman" w:hAnsi="Times New Roman" w:cs="Times New Roman"/>
          <w:i/>
          <w:iCs/>
          <w:sz w:val="20"/>
          <w:szCs w:val="20"/>
        </w:rPr>
        <w:t>Local 516</w:t>
      </w:r>
      <w:r w:rsidRPr="00617A78">
        <w:rPr>
          <w:rFonts w:ascii="Times New Roman" w:hAnsi="Times New Roman" w:cs="Times New Roman"/>
          <w:sz w:val="20"/>
          <w:szCs w:val="20"/>
        </w:rPr>
        <w:t xml:space="preserve">, 356 F. Supp. 354, 356 (W.D.N.Y. 1973), </w:t>
      </w:r>
      <w:proofErr w:type="spellStart"/>
      <w:r w:rsidRPr="00617A78">
        <w:rPr>
          <w:rFonts w:ascii="Times New Roman" w:hAnsi="Times New Roman" w:cs="Times New Roman"/>
          <w:i/>
          <w:iCs/>
          <w:sz w:val="20"/>
          <w:szCs w:val="20"/>
        </w:rPr>
        <w:t>rev'd</w:t>
      </w:r>
      <w:proofErr w:type="spellEnd"/>
      <w:r w:rsidRPr="00617A78">
        <w:rPr>
          <w:rFonts w:ascii="Times New Roman" w:hAnsi="Times New Roman" w:cs="Times New Roman"/>
          <w:i/>
          <w:iCs/>
          <w:sz w:val="20"/>
          <w:szCs w:val="20"/>
        </w:rPr>
        <w:t xml:space="preserve"> on other grounds</w:t>
      </w:r>
      <w:r w:rsidRPr="00617A78">
        <w:rPr>
          <w:rFonts w:ascii="Times New Roman" w:hAnsi="Times New Roman" w:cs="Times New Roman"/>
          <w:sz w:val="20"/>
          <w:szCs w:val="20"/>
        </w:rPr>
        <w:t xml:space="preserve">, 500 F.2d 921 (2d Cir. 1974))). </w:t>
      </w:r>
    </w:p>
  </w:footnote>
  <w:footnote w:id="51">
    <w:p w14:paraId="6576DA71" w14:textId="6CD180F3" w:rsidR="00AD3492" w:rsidRPr="00617A78" w:rsidRDefault="00AD3492" w:rsidP="007C587F">
      <w:pPr>
        <w:widowControl w:val="0"/>
        <w:autoSpaceDE w:val="0"/>
        <w:autoSpaceDN w:val="0"/>
        <w:adjustRightInd w:val="0"/>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Id</w:t>
      </w:r>
      <w:r w:rsidRPr="00617A78">
        <w:rPr>
          <w:rFonts w:ascii="Times New Roman" w:hAnsi="Times New Roman" w:cs="Times New Roman"/>
          <w:sz w:val="20"/>
          <w:szCs w:val="20"/>
        </w:rPr>
        <w:t xml:space="preserve">. (citing </w:t>
      </w:r>
      <w:r w:rsidRPr="00617A78">
        <w:rPr>
          <w:rFonts w:ascii="Times New Roman" w:hAnsi="Times New Roman" w:cs="Times New Roman"/>
          <w:i/>
          <w:iCs/>
          <w:sz w:val="20"/>
          <w:szCs w:val="20"/>
        </w:rPr>
        <w:t>Merrill Lynch</w:t>
      </w:r>
      <w:r w:rsidRPr="00617A78">
        <w:rPr>
          <w:rFonts w:ascii="Times New Roman" w:hAnsi="Times New Roman" w:cs="Times New Roman"/>
          <w:sz w:val="20"/>
          <w:szCs w:val="20"/>
        </w:rPr>
        <w:t xml:space="preserve">, 808 F.2d at 933). </w:t>
      </w:r>
      <w:r w:rsidRPr="00617A78">
        <w:rPr>
          <w:rFonts w:ascii="Times New Roman" w:hAnsi="Times New Roman" w:cs="Times New Roman"/>
          <w:i/>
          <w:sz w:val="20"/>
          <w:szCs w:val="20"/>
        </w:rPr>
        <w:t>See also</w:t>
      </w:r>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supra</w:t>
      </w:r>
      <w:r w:rsidRPr="00617A78">
        <w:rPr>
          <w:rFonts w:ascii="Times New Roman" w:hAnsi="Times New Roman" w:cs="Times New Roman"/>
          <w:sz w:val="20"/>
          <w:szCs w:val="20"/>
        </w:rPr>
        <w:t xml:space="preserve"> note 40. </w:t>
      </w:r>
    </w:p>
  </w:footnote>
  <w:footnote w:id="52">
    <w:p w14:paraId="1BA6FEF0" w14:textId="1D1C9AA5" w:rsidR="00AD3492" w:rsidRPr="00617A78" w:rsidRDefault="00AD3492" w:rsidP="007C587F">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Burch,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_Ref355707198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17</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 xml:space="preserve">, at 63-64 (citing </w:t>
      </w:r>
      <w:proofErr w:type="spellStart"/>
      <w:r w:rsidRPr="00617A78">
        <w:rPr>
          <w:rFonts w:ascii="Times New Roman" w:hAnsi="Times New Roman" w:cs="Times New Roman"/>
          <w:i/>
          <w:sz w:val="20"/>
          <w:szCs w:val="20"/>
        </w:rPr>
        <w:t>Wilko</w:t>
      </w:r>
      <w:proofErr w:type="spellEnd"/>
      <w:r w:rsidRPr="00617A78">
        <w:rPr>
          <w:rFonts w:ascii="Times New Roman" w:hAnsi="Times New Roman" w:cs="Times New Roman"/>
          <w:sz w:val="20"/>
          <w:szCs w:val="20"/>
        </w:rPr>
        <w:t>, 346 U.S. at 436-37)</w:t>
      </w:r>
      <w:r>
        <w:rPr>
          <w:rFonts w:ascii="Times New Roman" w:hAnsi="Times New Roman" w:cs="Times New Roman"/>
          <w:sz w:val="20"/>
          <w:szCs w:val="20"/>
        </w:rPr>
        <w:t>.</w:t>
      </w:r>
      <w:r w:rsidRPr="00617A78">
        <w:rPr>
          <w:rFonts w:ascii="Times New Roman" w:hAnsi="Times New Roman" w:cs="Times New Roman"/>
          <w:sz w:val="20"/>
          <w:szCs w:val="20"/>
        </w:rPr>
        <w:t xml:space="preserve"> </w:t>
      </w:r>
    </w:p>
  </w:footnote>
  <w:footnote w:id="53">
    <w:p w14:paraId="708F0784" w14:textId="6696CD1D" w:rsidR="00AD3492" w:rsidRPr="00617A78" w:rsidRDefault="00AD3492" w:rsidP="007C587F">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proofErr w:type="gramStart"/>
      <w:r w:rsidRPr="00617A78">
        <w:rPr>
          <w:rFonts w:ascii="Times New Roman" w:hAnsi="Times New Roman" w:cs="Times New Roman"/>
          <w:i/>
          <w:sz w:val="20"/>
          <w:szCs w:val="20"/>
        </w:rPr>
        <w:t>Id</w:t>
      </w:r>
      <w:r w:rsidRPr="00617A78">
        <w:rPr>
          <w:rFonts w:ascii="Times New Roman" w:hAnsi="Times New Roman" w:cs="Times New Roman"/>
          <w:sz w:val="20"/>
          <w:szCs w:val="20"/>
        </w:rPr>
        <w:t>. at 63.</w:t>
      </w:r>
      <w:proofErr w:type="gramEnd"/>
    </w:p>
  </w:footnote>
  <w:footnote w:id="54">
    <w:p w14:paraId="1382F160" w14:textId="05F9A4F0" w:rsidR="00AD3492" w:rsidRPr="00617A78" w:rsidRDefault="00AD3492" w:rsidP="00865FB6">
      <w:pPr>
        <w:widowControl w:val="0"/>
        <w:autoSpaceDE w:val="0"/>
        <w:autoSpaceDN w:val="0"/>
        <w:adjustRightInd w:val="0"/>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Id.</w:t>
      </w:r>
      <w:r w:rsidRPr="00617A78">
        <w:rPr>
          <w:rFonts w:ascii="Times New Roman" w:hAnsi="Times New Roman" w:cs="Times New Roman"/>
          <w:sz w:val="20"/>
          <w:szCs w:val="20"/>
        </w:rPr>
        <w:t xml:space="preserve"> at 64; </w:t>
      </w:r>
      <w:proofErr w:type="spellStart"/>
      <w:r w:rsidRPr="00617A78">
        <w:rPr>
          <w:rFonts w:ascii="Times New Roman" w:hAnsi="Times New Roman" w:cs="Times New Roman"/>
          <w:sz w:val="20"/>
          <w:szCs w:val="20"/>
        </w:rPr>
        <w:t>Hayford</w:t>
      </w:r>
      <w:proofErr w:type="spellEnd"/>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_Ref355708431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32</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 xml:space="preserve">, at 130 (“The framework for analysis under this third model works backwards from an arbitral outcome the reviewing court believes to be flawed as a matter of law, confirmed by an exhaustive evaluation of the factual record made in arbitration. This judicial rethinking of the factual questions and the questions of application of law to facts integral to the resolution of the matter in arbitration is coupled with a search for evidence in the record upon which the court can base a presumption of arbitral knowledge of the correct law. Once that evidence is identified the court is free to ‘bootstrap’ its way to the inference that the arbitrator must have ignored the relevant law in fashioning an award the court believes is contrary to the law.”). </w:t>
      </w:r>
    </w:p>
  </w:footnote>
  <w:footnote w:id="55">
    <w:p w14:paraId="21729F28" w14:textId="77777777" w:rsidR="00AD3492" w:rsidRPr="00617A78" w:rsidRDefault="00AD3492" w:rsidP="00865FB6">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proofErr w:type="gramStart"/>
      <w:r w:rsidRPr="00617A78">
        <w:rPr>
          <w:rFonts w:ascii="Times New Roman" w:hAnsi="Times New Roman" w:cs="Times New Roman"/>
          <w:i/>
          <w:sz w:val="20"/>
          <w:szCs w:val="20"/>
        </w:rPr>
        <w:t xml:space="preserve">Montes v. Shearson Lehman Bros., Inc., </w:t>
      </w:r>
      <w:r w:rsidRPr="00617A78">
        <w:rPr>
          <w:rFonts w:ascii="Times New Roman" w:hAnsi="Times New Roman" w:cs="Times New Roman"/>
          <w:sz w:val="20"/>
          <w:szCs w:val="20"/>
        </w:rPr>
        <w:t>128 F.3d 1456 (11th Cir. 1997).</w:t>
      </w:r>
      <w:proofErr w:type="gramEnd"/>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See also</w:t>
      </w:r>
      <w:r w:rsidRPr="00617A78">
        <w:rPr>
          <w:rFonts w:ascii="Times New Roman" w:hAnsi="Times New Roman" w:cs="Times New Roman"/>
          <w:sz w:val="20"/>
          <w:szCs w:val="20"/>
        </w:rPr>
        <w:t xml:space="preserve">, </w:t>
      </w:r>
      <w:proofErr w:type="spellStart"/>
      <w:r w:rsidRPr="00617A78">
        <w:rPr>
          <w:rFonts w:ascii="Times New Roman" w:hAnsi="Times New Roman" w:cs="Times New Roman"/>
          <w:i/>
          <w:sz w:val="20"/>
          <w:szCs w:val="20"/>
        </w:rPr>
        <w:t>Hilligan</w:t>
      </w:r>
      <w:proofErr w:type="spellEnd"/>
      <w:r w:rsidRPr="00617A78">
        <w:rPr>
          <w:rFonts w:ascii="Times New Roman" w:hAnsi="Times New Roman" w:cs="Times New Roman"/>
          <w:i/>
          <w:sz w:val="20"/>
          <w:szCs w:val="20"/>
        </w:rPr>
        <w:t xml:space="preserve"> v. Piper </w:t>
      </w:r>
      <w:proofErr w:type="spellStart"/>
      <w:r w:rsidRPr="00617A78">
        <w:rPr>
          <w:rFonts w:ascii="Times New Roman" w:hAnsi="Times New Roman" w:cs="Times New Roman"/>
          <w:i/>
          <w:sz w:val="20"/>
          <w:szCs w:val="20"/>
        </w:rPr>
        <w:t>Jaffray</w:t>
      </w:r>
      <w:proofErr w:type="spellEnd"/>
      <w:r w:rsidRPr="00617A78">
        <w:rPr>
          <w:rFonts w:ascii="Times New Roman" w:hAnsi="Times New Roman" w:cs="Times New Roman"/>
          <w:i/>
          <w:sz w:val="20"/>
          <w:szCs w:val="20"/>
        </w:rPr>
        <w:t>, Inc.</w:t>
      </w:r>
      <w:r w:rsidRPr="00617A78">
        <w:rPr>
          <w:rFonts w:ascii="Times New Roman" w:hAnsi="Times New Roman" w:cs="Times New Roman"/>
          <w:sz w:val="20"/>
          <w:szCs w:val="20"/>
        </w:rPr>
        <w:t xml:space="preserve">, 148 F.3d 197 (2d Cir. 1998). </w:t>
      </w:r>
    </w:p>
  </w:footnote>
  <w:footnote w:id="56">
    <w:p w14:paraId="45508C9C" w14:textId="5539415C" w:rsidR="00AD3492" w:rsidRPr="00617A78" w:rsidRDefault="00AD3492" w:rsidP="00865FB6">
      <w:pPr>
        <w:widowControl w:val="0"/>
        <w:jc w:val="both"/>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The court agreed that a claim of manifest disregard only applies where the arbitrator is “conscious of the law and deliberately ignore[s] it,”</w:t>
      </w:r>
      <w:r w:rsidRPr="00617A78">
        <w:rPr>
          <w:rFonts w:ascii="Times New Roman" w:hAnsi="Times New Roman" w:cs="Times New Roman"/>
          <w:i/>
          <w:iCs/>
          <w:sz w:val="20"/>
          <w:szCs w:val="20"/>
        </w:rPr>
        <w:t xml:space="preserve"> Montes v Shearson Lehman Bros.</w:t>
      </w:r>
      <w:r w:rsidRPr="00617A78">
        <w:rPr>
          <w:rFonts w:ascii="Times New Roman" w:hAnsi="Times New Roman" w:cs="Times New Roman"/>
          <w:sz w:val="20"/>
          <w:szCs w:val="20"/>
        </w:rPr>
        <w:t xml:space="preserve">, 128 F.3d at 1461, and that incorrect interpretation of the law will not satisfy this standard. </w:t>
      </w:r>
      <w:r w:rsidRPr="00617A78">
        <w:rPr>
          <w:rFonts w:ascii="Times New Roman" w:hAnsi="Times New Roman" w:cs="Times New Roman"/>
          <w:i/>
          <w:sz w:val="20"/>
          <w:szCs w:val="20"/>
        </w:rPr>
        <w:t>Id</w:t>
      </w:r>
      <w:r w:rsidRPr="00617A78">
        <w:rPr>
          <w:rFonts w:ascii="Times New Roman" w:hAnsi="Times New Roman" w:cs="Times New Roman"/>
          <w:sz w:val="20"/>
          <w:szCs w:val="20"/>
        </w:rPr>
        <w:t xml:space="preserve">. </w:t>
      </w:r>
    </w:p>
  </w:footnote>
  <w:footnote w:id="57">
    <w:p w14:paraId="3E2F16A9" w14:textId="50DA2C02" w:rsidR="00AD3492" w:rsidRPr="00617A78" w:rsidRDefault="00AD3492" w:rsidP="00865FB6">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r w:rsidRPr="00617A78">
        <w:rPr>
          <w:rFonts w:ascii="Times New Roman" w:hAnsi="Times New Roman" w:cs="Times New Roman"/>
          <w:i/>
          <w:iCs/>
          <w:sz w:val="20"/>
          <w:szCs w:val="20"/>
        </w:rPr>
        <w:t>Montes</w:t>
      </w:r>
      <w:r w:rsidRPr="00617A78">
        <w:rPr>
          <w:rFonts w:ascii="Times New Roman" w:hAnsi="Times New Roman" w:cs="Times New Roman"/>
          <w:iCs/>
          <w:sz w:val="20"/>
          <w:szCs w:val="20"/>
        </w:rPr>
        <w:t xml:space="preserve">, </w:t>
      </w:r>
      <w:proofErr w:type="gramStart"/>
      <w:r w:rsidRPr="00617A78">
        <w:rPr>
          <w:rFonts w:ascii="Times New Roman" w:hAnsi="Times New Roman" w:cs="Times New Roman"/>
          <w:sz w:val="20"/>
          <w:szCs w:val="20"/>
        </w:rPr>
        <w:t>128 F.3d at 1461</w:t>
      </w:r>
      <w:proofErr w:type="gramEnd"/>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 xml:space="preserve">See </w:t>
      </w:r>
      <w:proofErr w:type="spellStart"/>
      <w:r w:rsidRPr="00617A78">
        <w:rPr>
          <w:rFonts w:ascii="Times New Roman" w:hAnsi="Times New Roman" w:cs="Times New Roman"/>
          <w:sz w:val="20"/>
          <w:szCs w:val="20"/>
        </w:rPr>
        <w:t>Hayford</w:t>
      </w:r>
      <w:proofErr w:type="spellEnd"/>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_Ref355708431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32</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 xml:space="preserve">, at 19; Burch,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_Ref355707198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17</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 at 64.</w:t>
      </w:r>
    </w:p>
  </w:footnote>
  <w:footnote w:id="58">
    <w:p w14:paraId="2F853101" w14:textId="5C2C310C" w:rsidR="00AD3492" w:rsidRPr="00617A78" w:rsidRDefault="00AD3492" w:rsidP="00865FB6">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proofErr w:type="spellStart"/>
      <w:r w:rsidRPr="00617A78">
        <w:rPr>
          <w:rFonts w:ascii="Times New Roman" w:hAnsi="Times New Roman" w:cs="Times New Roman"/>
          <w:sz w:val="20"/>
          <w:szCs w:val="20"/>
        </w:rPr>
        <w:t>Hayford</w:t>
      </w:r>
      <w:proofErr w:type="spellEnd"/>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_Ref355708431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32</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 xml:space="preserve">, at 129. </w:t>
      </w:r>
      <w:r w:rsidRPr="00617A78">
        <w:rPr>
          <w:rFonts w:ascii="Times New Roman" w:hAnsi="Times New Roman" w:cs="Times New Roman"/>
          <w:i/>
          <w:sz w:val="20"/>
          <w:szCs w:val="20"/>
        </w:rPr>
        <w:t>See also</w:t>
      </w:r>
      <w:r w:rsidRPr="00617A78">
        <w:rPr>
          <w:rFonts w:ascii="Times New Roman" w:hAnsi="Times New Roman" w:cs="Times New Roman"/>
          <w:sz w:val="20"/>
          <w:szCs w:val="20"/>
        </w:rPr>
        <w:t xml:space="preserve">, Burch,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_Ref355707198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17</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 at 64.</w:t>
      </w:r>
    </w:p>
  </w:footnote>
  <w:footnote w:id="59">
    <w:p w14:paraId="23B5C483" w14:textId="42646D99" w:rsidR="00AD3492" w:rsidRPr="00617A78" w:rsidRDefault="00AD3492" w:rsidP="00865FB6">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r w:rsidRPr="00617A78">
        <w:rPr>
          <w:rFonts w:ascii="Times New Roman" w:hAnsi="Times New Roman" w:cs="Times New Roman"/>
          <w:i/>
          <w:iCs/>
          <w:sz w:val="20"/>
          <w:szCs w:val="20"/>
        </w:rPr>
        <w:t>Montes</w:t>
      </w:r>
      <w:r w:rsidRPr="00617A78">
        <w:rPr>
          <w:rFonts w:ascii="Times New Roman" w:hAnsi="Times New Roman" w:cs="Times New Roman"/>
          <w:iCs/>
          <w:sz w:val="20"/>
          <w:szCs w:val="20"/>
        </w:rPr>
        <w:t>,</w:t>
      </w:r>
      <w:r w:rsidRPr="00617A78">
        <w:rPr>
          <w:rFonts w:ascii="Times New Roman" w:hAnsi="Times New Roman" w:cs="Times New Roman"/>
          <w:i/>
          <w:iCs/>
          <w:sz w:val="20"/>
          <w:szCs w:val="20"/>
        </w:rPr>
        <w:t xml:space="preserve"> </w:t>
      </w:r>
      <w:proofErr w:type="gramStart"/>
      <w:r w:rsidRPr="00617A78">
        <w:rPr>
          <w:rFonts w:ascii="Times New Roman" w:hAnsi="Times New Roman" w:cs="Times New Roman"/>
          <w:sz w:val="20"/>
          <w:szCs w:val="20"/>
        </w:rPr>
        <w:t>128 F.3d at 1461</w:t>
      </w:r>
      <w:proofErr w:type="gramEnd"/>
      <w:r w:rsidRPr="00617A78">
        <w:rPr>
          <w:rFonts w:ascii="Times New Roman" w:hAnsi="Times New Roman" w:cs="Times New Roman"/>
          <w:sz w:val="20"/>
          <w:szCs w:val="20"/>
        </w:rPr>
        <w:t xml:space="preserve">. </w:t>
      </w:r>
    </w:p>
  </w:footnote>
  <w:footnote w:id="60">
    <w:p w14:paraId="1D28250A" w14:textId="36C9760C" w:rsidR="00AD3492" w:rsidRPr="00617A78" w:rsidRDefault="00AD3492">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Bruch,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_Ref355707198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17</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 xml:space="preserve">, at 64; </w:t>
      </w:r>
      <w:r w:rsidRPr="00617A78">
        <w:rPr>
          <w:rFonts w:ascii="Times New Roman" w:hAnsi="Times New Roman" w:cs="Times New Roman"/>
          <w:i/>
          <w:sz w:val="20"/>
          <w:szCs w:val="20"/>
        </w:rPr>
        <w:t xml:space="preserve">see </w:t>
      </w:r>
      <w:proofErr w:type="spellStart"/>
      <w:r w:rsidRPr="00617A78">
        <w:rPr>
          <w:rFonts w:ascii="Times New Roman" w:hAnsi="Times New Roman" w:cs="Times New Roman"/>
          <w:sz w:val="20"/>
          <w:szCs w:val="20"/>
        </w:rPr>
        <w:t>Hayford</w:t>
      </w:r>
      <w:proofErr w:type="spellEnd"/>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_Ref355708431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32</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 xml:space="preserve">, at 125-32 (comparing all three approaches). </w:t>
      </w:r>
    </w:p>
  </w:footnote>
  <w:footnote w:id="61">
    <w:p w14:paraId="00772D15" w14:textId="3021185F" w:rsidR="00AD3492" w:rsidRPr="00617A78" w:rsidRDefault="00AD3492" w:rsidP="007C587F">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See</w:t>
      </w:r>
      <w:r w:rsidRPr="00617A78">
        <w:rPr>
          <w:rFonts w:ascii="Times New Roman" w:hAnsi="Times New Roman" w:cs="Times New Roman"/>
          <w:sz w:val="20"/>
          <w:szCs w:val="20"/>
        </w:rPr>
        <w:t xml:space="preserve"> </w:t>
      </w:r>
      <w:proofErr w:type="gramStart"/>
      <w:r w:rsidRPr="00617A78">
        <w:rPr>
          <w:rFonts w:ascii="Times New Roman" w:hAnsi="Times New Roman" w:cs="Times New Roman"/>
          <w:sz w:val="20"/>
          <w:szCs w:val="20"/>
        </w:rPr>
        <w:t>Gross,</w:t>
      </w:r>
      <w:proofErr w:type="gramEnd"/>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_Ref355705266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10</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 xml:space="preserve">, at 236. </w:t>
      </w:r>
    </w:p>
  </w:footnote>
  <w:footnote w:id="62">
    <w:p w14:paraId="0521BD1E" w14:textId="34113D71" w:rsidR="00AD3492" w:rsidRPr="00617A78" w:rsidRDefault="00AD3492">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See</w:t>
      </w:r>
      <w:r w:rsidRPr="00617A78">
        <w:rPr>
          <w:rFonts w:ascii="Times New Roman" w:hAnsi="Times New Roman" w:cs="Times New Roman"/>
          <w:sz w:val="20"/>
          <w:szCs w:val="20"/>
        </w:rPr>
        <w:t xml:space="preserve"> Weathers P. Bolt, </w:t>
      </w:r>
      <w:r w:rsidRPr="00617A78">
        <w:rPr>
          <w:rFonts w:ascii="Times New Roman" w:hAnsi="Times New Roman" w:cs="Times New Roman"/>
          <w:i/>
          <w:sz w:val="20"/>
          <w:szCs w:val="20"/>
        </w:rPr>
        <w:t>Much Ado About Nothing: The Effect of Manifest Disregard on Arbitration Agreement Decisions</w:t>
      </w:r>
      <w:r w:rsidRPr="00617A78">
        <w:rPr>
          <w:rFonts w:ascii="Times New Roman" w:hAnsi="Times New Roman" w:cs="Times New Roman"/>
          <w:sz w:val="20"/>
          <w:szCs w:val="20"/>
        </w:rPr>
        <w:t xml:space="preserve">, 63 Ala. L. Rev. 161, 164 (2011-2012).  </w:t>
      </w:r>
    </w:p>
  </w:footnote>
  <w:footnote w:id="63">
    <w:p w14:paraId="5A7A4472" w14:textId="241F4948" w:rsidR="00AD3492" w:rsidRPr="00617A78" w:rsidRDefault="00AD3492">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Note, however, that according to John and Ari </w:t>
      </w:r>
      <w:proofErr w:type="spellStart"/>
      <w:r w:rsidRPr="00617A78">
        <w:rPr>
          <w:rFonts w:ascii="Times New Roman" w:hAnsi="Times New Roman" w:cs="Times New Roman"/>
          <w:sz w:val="20"/>
          <w:szCs w:val="20"/>
        </w:rPr>
        <w:t>Diaconis</w:t>
      </w:r>
      <w:proofErr w:type="spellEnd"/>
      <w:r w:rsidRPr="00617A78">
        <w:rPr>
          <w:rFonts w:ascii="Times New Roman" w:hAnsi="Times New Roman" w:cs="Times New Roman"/>
          <w:sz w:val="20"/>
          <w:szCs w:val="20"/>
        </w:rPr>
        <w:t xml:space="preserve">, despite the Circuit Courts’ diverging interpretations and application of manifest disregard, a common theme emerged among the circuits: “courts rarely and only in the most egregious of circumstances vacated [arbitral awards] based on manifest disregard.” John and Ari </w:t>
      </w:r>
      <w:proofErr w:type="spellStart"/>
      <w:r w:rsidRPr="00617A78">
        <w:rPr>
          <w:rFonts w:ascii="Times New Roman" w:hAnsi="Times New Roman" w:cs="Times New Roman"/>
          <w:sz w:val="20"/>
          <w:szCs w:val="20"/>
        </w:rPr>
        <w:t>Diaconis</w:t>
      </w:r>
      <w:proofErr w:type="spellEnd"/>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_Ref355710474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23</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 at 10-11.</w:t>
      </w:r>
    </w:p>
  </w:footnote>
  <w:footnote w:id="64">
    <w:p w14:paraId="77092CA2" w14:textId="6F5C6848" w:rsidR="00AD3492" w:rsidRPr="00617A78" w:rsidRDefault="00AD3492" w:rsidP="00847A69">
      <w:pPr>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Bolt,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_Ref355710258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62</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 xml:space="preserve">, at 164. </w:t>
      </w:r>
    </w:p>
  </w:footnote>
  <w:footnote w:id="65">
    <w:p w14:paraId="360230EC" w14:textId="3672A4C9" w:rsidR="00AD3492" w:rsidRPr="00617A78" w:rsidRDefault="00AD3492" w:rsidP="007C587F">
      <w:pPr>
        <w:jc w:val="both"/>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According to Jill Gross, “[w]</w:t>
      </w:r>
      <w:proofErr w:type="spellStart"/>
      <w:r w:rsidRPr="00617A78">
        <w:rPr>
          <w:rFonts w:ascii="Times New Roman" w:hAnsi="Times New Roman" w:cs="Times New Roman"/>
          <w:sz w:val="20"/>
          <w:szCs w:val="20"/>
        </w:rPr>
        <w:t>hile</w:t>
      </w:r>
      <w:proofErr w:type="spellEnd"/>
      <w:r w:rsidRPr="00617A78">
        <w:rPr>
          <w:rFonts w:ascii="Times New Roman" w:hAnsi="Times New Roman" w:cs="Times New Roman"/>
          <w:sz w:val="20"/>
          <w:szCs w:val="20"/>
        </w:rPr>
        <w:t xml:space="preserve"> the precise test varied from circuit to circuit, most courts agreed that, to persuade a court to vacate an award on manifest disregard ground, the losing party must show: (1) the arbitrators knew of a governing legal principle yet refused to apply it or ignored it altogether; and (2) the law that the arbitrator ignored was well defined, explicitly, and clearly applicable to the case.” Gross,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_Ref355705266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10</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 xml:space="preserve">, at 236. </w:t>
      </w:r>
    </w:p>
  </w:footnote>
  <w:footnote w:id="66">
    <w:p w14:paraId="0D1BACAC" w14:textId="72687A2E" w:rsidR="00AD3492" w:rsidRPr="00617A78" w:rsidRDefault="00AD3492" w:rsidP="00140F78">
      <w:pPr>
        <w:widowControl w:val="0"/>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Bolt,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_Ref355710258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62</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 xml:space="preserve">, at 164 (citing </w:t>
      </w:r>
      <w:proofErr w:type="spellStart"/>
      <w:r w:rsidRPr="00617A78">
        <w:rPr>
          <w:rFonts w:ascii="Times New Roman" w:hAnsi="Times New Roman" w:cs="Times New Roman"/>
          <w:i/>
          <w:sz w:val="20"/>
          <w:szCs w:val="20"/>
        </w:rPr>
        <w:t>Duferco</w:t>
      </w:r>
      <w:proofErr w:type="spellEnd"/>
      <w:r w:rsidRPr="00617A78">
        <w:rPr>
          <w:rFonts w:ascii="Times New Roman" w:hAnsi="Times New Roman" w:cs="Times New Roman"/>
          <w:i/>
          <w:sz w:val="20"/>
          <w:szCs w:val="20"/>
        </w:rPr>
        <w:t xml:space="preserve"> Int’l Steel Tracing v. T. </w:t>
      </w:r>
      <w:proofErr w:type="spellStart"/>
      <w:r w:rsidRPr="00617A78">
        <w:rPr>
          <w:rFonts w:ascii="Times New Roman" w:hAnsi="Times New Roman" w:cs="Times New Roman"/>
          <w:i/>
          <w:sz w:val="20"/>
          <w:szCs w:val="20"/>
        </w:rPr>
        <w:t>Klaveness</w:t>
      </w:r>
      <w:proofErr w:type="spellEnd"/>
      <w:r w:rsidRPr="00617A78">
        <w:rPr>
          <w:rFonts w:ascii="Times New Roman" w:hAnsi="Times New Roman" w:cs="Times New Roman"/>
          <w:i/>
          <w:sz w:val="20"/>
          <w:szCs w:val="20"/>
        </w:rPr>
        <w:t xml:space="preserve"> Shipping A/S</w:t>
      </w:r>
      <w:r w:rsidRPr="00617A78">
        <w:rPr>
          <w:rFonts w:ascii="Times New Roman" w:hAnsi="Times New Roman" w:cs="Times New Roman"/>
          <w:sz w:val="20"/>
          <w:szCs w:val="20"/>
        </w:rPr>
        <w:t xml:space="preserve">, 333 F.3d 87, 91 (1st Cir. 2006)(“[W]e mean by manifest disregard of the law a situation where it is clear from the record that the arbitrator recognized the applicable law—and ignored it.”)). </w:t>
      </w:r>
    </w:p>
  </w:footnote>
  <w:footnote w:id="67">
    <w:p w14:paraId="31603BA0" w14:textId="2DC6FF44" w:rsidR="00AD3492" w:rsidRPr="00617A78" w:rsidRDefault="00AD3492" w:rsidP="007C587F">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proofErr w:type="gramStart"/>
      <w:r w:rsidRPr="00617A78">
        <w:rPr>
          <w:rFonts w:ascii="Times New Roman" w:hAnsi="Times New Roman" w:cs="Times New Roman"/>
          <w:i/>
          <w:iCs/>
          <w:sz w:val="20"/>
          <w:szCs w:val="20"/>
        </w:rPr>
        <w:t>Hall St. Assocs., L.L.C. v Mattel, Inc.</w:t>
      </w:r>
      <w:r w:rsidRPr="00617A78">
        <w:rPr>
          <w:rFonts w:ascii="Times New Roman" w:hAnsi="Times New Roman" w:cs="Times New Roman"/>
          <w:sz w:val="20"/>
          <w:szCs w:val="20"/>
        </w:rPr>
        <w:t>, 552 U.S. 576 (2008).</w:t>
      </w:r>
      <w:proofErr w:type="gramEnd"/>
    </w:p>
  </w:footnote>
  <w:footnote w:id="68">
    <w:p w14:paraId="53DC304E" w14:textId="4FD6E5CD" w:rsidR="00AD3492" w:rsidRPr="00617A78" w:rsidRDefault="00AD3492" w:rsidP="007C587F">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Huber,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_Ref355704865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11</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 at 558.</w:t>
      </w:r>
    </w:p>
  </w:footnote>
  <w:footnote w:id="69">
    <w:p w14:paraId="52017D08" w14:textId="3179F476" w:rsidR="00AD3492" w:rsidRPr="00617A78" w:rsidRDefault="00AD3492" w:rsidP="00C1332C">
      <w:pPr>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Davis,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_Ref355706240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19</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 xml:space="preserve">, at 99. </w:t>
      </w:r>
      <w:r w:rsidRPr="00617A78">
        <w:rPr>
          <w:rFonts w:ascii="Times New Roman" w:hAnsi="Times New Roman" w:cs="Times New Roman"/>
          <w:i/>
          <w:sz w:val="20"/>
          <w:szCs w:val="20"/>
        </w:rPr>
        <w:t xml:space="preserve">See </w:t>
      </w:r>
      <w:r w:rsidRPr="00617A78">
        <w:rPr>
          <w:rFonts w:ascii="Times New Roman" w:hAnsi="Times New Roman" w:cs="Times New Roman"/>
          <w:sz w:val="20"/>
          <w:szCs w:val="20"/>
        </w:rPr>
        <w:t xml:space="preserve">Kevin Patrick Murphy, </w:t>
      </w:r>
      <w:r w:rsidRPr="00617A78">
        <w:rPr>
          <w:rFonts w:ascii="Times New Roman" w:hAnsi="Times New Roman" w:cs="Times New Roman"/>
          <w:i/>
          <w:sz w:val="20"/>
          <w:szCs w:val="20"/>
        </w:rPr>
        <w:t>Alive But Not Well: Manifest Disregard After Hall Street</w:t>
      </w:r>
      <w:r w:rsidRPr="00617A78">
        <w:rPr>
          <w:rFonts w:ascii="Times New Roman" w:hAnsi="Times New Roman" w:cs="Times New Roman"/>
          <w:sz w:val="20"/>
          <w:szCs w:val="20"/>
        </w:rPr>
        <w:t>,</w:t>
      </w:r>
      <w:r w:rsidRPr="00617A78">
        <w:rPr>
          <w:rFonts w:ascii="Times New Roman" w:hAnsi="Times New Roman" w:cs="Times New Roman"/>
          <w:i/>
          <w:sz w:val="20"/>
          <w:szCs w:val="20"/>
        </w:rPr>
        <w:t xml:space="preserve"> </w:t>
      </w:r>
      <w:r w:rsidRPr="00617A78">
        <w:rPr>
          <w:rFonts w:ascii="Times New Roman" w:hAnsi="Times New Roman" w:cs="Times New Roman"/>
          <w:sz w:val="20"/>
          <w:szCs w:val="20"/>
        </w:rPr>
        <w:t xml:space="preserve">44 Ga. L. Rev. 285, 300 (2009-2010). </w:t>
      </w:r>
    </w:p>
  </w:footnote>
  <w:footnote w:id="70">
    <w:p w14:paraId="1E267FF0" w14:textId="2D60802C" w:rsidR="00AD3492" w:rsidRPr="00617A78" w:rsidRDefault="00AD3492" w:rsidP="00C1332C">
      <w:pPr>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Hall Street</w:t>
      </w:r>
      <w:r w:rsidRPr="00617A78">
        <w:rPr>
          <w:rFonts w:ascii="Times New Roman" w:hAnsi="Times New Roman" w:cs="Times New Roman"/>
          <w:sz w:val="20"/>
          <w:szCs w:val="20"/>
        </w:rPr>
        <w:t>,</w:t>
      </w:r>
      <w:r w:rsidRPr="00617A78">
        <w:rPr>
          <w:rFonts w:ascii="Times New Roman" w:hAnsi="Times New Roman" w:cs="Times New Roman"/>
          <w:i/>
          <w:sz w:val="20"/>
          <w:szCs w:val="20"/>
        </w:rPr>
        <w:t xml:space="preserve"> </w:t>
      </w:r>
      <w:r w:rsidRPr="00617A78">
        <w:rPr>
          <w:rFonts w:ascii="Times New Roman" w:hAnsi="Times New Roman" w:cs="Times New Roman"/>
          <w:sz w:val="20"/>
          <w:szCs w:val="20"/>
        </w:rPr>
        <w:t xml:space="preserve">552 U.S. at 578. </w:t>
      </w:r>
      <w:r w:rsidRPr="00617A78">
        <w:rPr>
          <w:rFonts w:ascii="Times New Roman" w:hAnsi="Times New Roman" w:cs="Times New Roman"/>
          <w:i/>
          <w:sz w:val="20"/>
          <w:szCs w:val="20"/>
        </w:rPr>
        <w:t>See also</w:t>
      </w:r>
      <w:r w:rsidRPr="00617A78">
        <w:rPr>
          <w:rFonts w:ascii="Times New Roman" w:hAnsi="Times New Roman" w:cs="Times New Roman"/>
          <w:sz w:val="20"/>
          <w:szCs w:val="20"/>
        </w:rPr>
        <w:t xml:space="preserve">, Chen,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_Ref355704712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8</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 xml:space="preserve">, at 1889; Ann C. </w:t>
      </w:r>
      <w:proofErr w:type="spellStart"/>
      <w:r w:rsidRPr="00617A78">
        <w:rPr>
          <w:rFonts w:ascii="Times New Roman" w:hAnsi="Times New Roman" w:cs="Times New Roman"/>
          <w:sz w:val="20"/>
          <w:szCs w:val="20"/>
        </w:rPr>
        <w:t>Gronlund</w:t>
      </w:r>
      <w:proofErr w:type="spellEnd"/>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The Future of Manifest Disregard As a Valid Ground for Vacating Arbitration Awards in Light of the Supreme Court’s Ruling in Hall Street Associates, L.L.C. v. Mattel, Inc.</w:t>
      </w:r>
      <w:r w:rsidRPr="00617A78">
        <w:rPr>
          <w:rFonts w:ascii="Times New Roman" w:hAnsi="Times New Roman" w:cs="Times New Roman"/>
          <w:sz w:val="20"/>
          <w:szCs w:val="20"/>
        </w:rPr>
        <w:t xml:space="preserve">, 96 Iowa L. Rev. 1351, 1362 (2010-2011); Murphy,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_Ref355711260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69</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 xml:space="preserve">, at 300; John </w:t>
      </w:r>
      <w:proofErr w:type="spellStart"/>
      <w:r w:rsidRPr="00617A78">
        <w:rPr>
          <w:rFonts w:ascii="Times New Roman" w:hAnsi="Times New Roman" w:cs="Times New Roman"/>
          <w:sz w:val="20"/>
          <w:szCs w:val="20"/>
        </w:rPr>
        <w:t>Diaconis</w:t>
      </w:r>
      <w:proofErr w:type="spellEnd"/>
      <w:r w:rsidRPr="00617A78">
        <w:rPr>
          <w:rFonts w:ascii="Times New Roman" w:hAnsi="Times New Roman" w:cs="Times New Roman"/>
          <w:sz w:val="20"/>
          <w:szCs w:val="20"/>
        </w:rPr>
        <w:t xml:space="preserve"> &amp; Ari </w:t>
      </w:r>
      <w:proofErr w:type="spellStart"/>
      <w:r w:rsidRPr="00617A78">
        <w:rPr>
          <w:rFonts w:ascii="Times New Roman" w:hAnsi="Times New Roman" w:cs="Times New Roman"/>
          <w:sz w:val="20"/>
          <w:szCs w:val="20"/>
        </w:rPr>
        <w:t>Diaconis</w:t>
      </w:r>
      <w:proofErr w:type="spellEnd"/>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_Ref355710474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23</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 xml:space="preserve">, at 13; Huber,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_Ref355704865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11</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 xml:space="preserve">, at 588-60. </w:t>
      </w:r>
    </w:p>
  </w:footnote>
  <w:footnote w:id="71">
    <w:p w14:paraId="4606E078" w14:textId="0986EE2C" w:rsidR="00AD3492" w:rsidRPr="00617A78" w:rsidRDefault="00AD3492" w:rsidP="007C587F">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Murphy,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_Ref355711260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69</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 xml:space="preserve">, at 300. </w:t>
      </w:r>
    </w:p>
  </w:footnote>
  <w:footnote w:id="72">
    <w:p w14:paraId="10DE43F9" w14:textId="670E0464" w:rsidR="00AD3492" w:rsidRPr="00617A78" w:rsidRDefault="00AD3492" w:rsidP="007C587F">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proofErr w:type="spellStart"/>
      <w:r w:rsidRPr="00617A78">
        <w:rPr>
          <w:rFonts w:ascii="Times New Roman" w:hAnsi="Times New Roman" w:cs="Times New Roman"/>
          <w:sz w:val="20"/>
          <w:szCs w:val="20"/>
        </w:rPr>
        <w:t>Gronlund</w:t>
      </w:r>
      <w:proofErr w:type="spellEnd"/>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_Ref355711342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70</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 at 1362.</w:t>
      </w:r>
    </w:p>
  </w:footnote>
  <w:footnote w:id="73">
    <w:p w14:paraId="39E25BE8" w14:textId="1536CA3C" w:rsidR="00AD3492" w:rsidRPr="00617A78" w:rsidRDefault="00AD3492" w:rsidP="007C587F">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Murphy,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_Ref355711260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69</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 at 301.</w:t>
      </w:r>
    </w:p>
  </w:footnote>
  <w:footnote w:id="74">
    <w:p w14:paraId="3BECB2D1" w14:textId="6B79182F" w:rsidR="00AD3492" w:rsidRPr="00617A78" w:rsidRDefault="00AD3492" w:rsidP="007C587F">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r w:rsidRPr="00617A78">
        <w:rPr>
          <w:rFonts w:ascii="Times New Roman" w:hAnsi="Times New Roman" w:cs="Times New Roman"/>
          <w:i/>
          <w:iCs/>
          <w:sz w:val="20"/>
          <w:szCs w:val="20"/>
        </w:rPr>
        <w:t>Hall Street</w:t>
      </w:r>
      <w:r w:rsidRPr="00617A78">
        <w:rPr>
          <w:rFonts w:ascii="Times New Roman" w:hAnsi="Times New Roman" w:cs="Times New Roman"/>
          <w:iCs/>
          <w:sz w:val="20"/>
          <w:szCs w:val="20"/>
        </w:rPr>
        <w:t>,</w:t>
      </w:r>
      <w:r w:rsidRPr="00617A78">
        <w:rPr>
          <w:rFonts w:ascii="Times New Roman" w:hAnsi="Times New Roman" w:cs="Times New Roman"/>
          <w:i/>
          <w:iCs/>
          <w:sz w:val="20"/>
          <w:szCs w:val="20"/>
        </w:rPr>
        <w:t xml:space="preserve"> </w:t>
      </w:r>
      <w:r w:rsidRPr="00617A78">
        <w:rPr>
          <w:rFonts w:ascii="Times New Roman" w:hAnsi="Times New Roman" w:cs="Times New Roman"/>
          <w:sz w:val="20"/>
          <w:szCs w:val="20"/>
        </w:rPr>
        <w:t xml:space="preserve">552 U.S. at 585. </w:t>
      </w:r>
      <w:r w:rsidRPr="00617A78">
        <w:rPr>
          <w:rFonts w:ascii="Times New Roman" w:hAnsi="Times New Roman" w:cs="Times New Roman"/>
          <w:i/>
          <w:sz w:val="20"/>
          <w:szCs w:val="20"/>
        </w:rPr>
        <w:t>See</w:t>
      </w:r>
      <w:r w:rsidRPr="00617A78">
        <w:rPr>
          <w:rFonts w:ascii="Times New Roman" w:hAnsi="Times New Roman" w:cs="Times New Roman"/>
          <w:sz w:val="20"/>
          <w:szCs w:val="20"/>
        </w:rPr>
        <w:t xml:space="preserve"> Huber,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_Ref355704865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11</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 xml:space="preserve">, at 558 (“This argument was easily turned away by the Court: judicial interpretation that expands the scope of review does not provide a basis for private parties alter review by private agreement. Besides, </w:t>
      </w:r>
      <w:proofErr w:type="spellStart"/>
      <w:r w:rsidRPr="00617A78">
        <w:rPr>
          <w:rFonts w:ascii="Times New Roman" w:hAnsi="Times New Roman" w:cs="Times New Roman"/>
          <w:sz w:val="20"/>
          <w:szCs w:val="20"/>
        </w:rPr>
        <w:t>Wilko</w:t>
      </w:r>
      <w:proofErr w:type="spellEnd"/>
      <w:r w:rsidRPr="00617A78">
        <w:rPr>
          <w:rFonts w:ascii="Times New Roman" w:hAnsi="Times New Roman" w:cs="Times New Roman"/>
          <w:sz w:val="20"/>
          <w:szCs w:val="20"/>
        </w:rPr>
        <w:t xml:space="preserve"> ‘expressly reject just what Hall Street asks for here, general review for an arbitrators’ legal error.’”) </w:t>
      </w:r>
    </w:p>
  </w:footnote>
  <w:footnote w:id="75">
    <w:p w14:paraId="0294C61C" w14:textId="1A987F35" w:rsidR="00AD3492" w:rsidRPr="00617A78" w:rsidRDefault="00AD3492" w:rsidP="007C587F">
      <w:pPr>
        <w:jc w:val="both"/>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r w:rsidRPr="00617A78">
        <w:rPr>
          <w:rFonts w:ascii="Times New Roman" w:hAnsi="Times New Roman" w:cs="Times New Roman"/>
          <w:i/>
          <w:iCs/>
          <w:sz w:val="20"/>
          <w:szCs w:val="20"/>
        </w:rPr>
        <w:t>Hall Street</w:t>
      </w:r>
      <w:r w:rsidRPr="00617A78">
        <w:rPr>
          <w:rFonts w:ascii="Times New Roman" w:hAnsi="Times New Roman" w:cs="Times New Roman"/>
          <w:iCs/>
          <w:sz w:val="20"/>
          <w:szCs w:val="20"/>
        </w:rPr>
        <w:t xml:space="preserve">, </w:t>
      </w:r>
      <w:r w:rsidRPr="00617A78">
        <w:rPr>
          <w:rFonts w:ascii="Times New Roman" w:hAnsi="Times New Roman" w:cs="Times New Roman"/>
          <w:sz w:val="20"/>
          <w:szCs w:val="20"/>
        </w:rPr>
        <w:t xml:space="preserve">552 U.S. at 585. </w:t>
      </w:r>
    </w:p>
  </w:footnote>
  <w:footnote w:id="76">
    <w:p w14:paraId="2080CCE8" w14:textId="671865E0" w:rsidR="00AD3492" w:rsidRPr="00617A78" w:rsidRDefault="00AD3492" w:rsidP="007C587F">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Huber,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_Ref355704865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11</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 xml:space="preserve">, at 559; Murphy,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_Ref355711260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69</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 xml:space="preserve">, at 300 (“The Court’s response to [Hall Street’s assertion that court have been permitted to expanded review since </w:t>
      </w:r>
      <w:proofErr w:type="spellStart"/>
      <w:r w:rsidRPr="00617A78">
        <w:rPr>
          <w:rFonts w:ascii="Times New Roman" w:hAnsi="Times New Roman" w:cs="Times New Roman"/>
          <w:i/>
          <w:sz w:val="20"/>
          <w:szCs w:val="20"/>
        </w:rPr>
        <w:t>Wilko</w:t>
      </w:r>
      <w:proofErr w:type="spellEnd"/>
      <w:r w:rsidRPr="00617A78">
        <w:rPr>
          <w:rFonts w:ascii="Times New Roman" w:hAnsi="Times New Roman" w:cs="Times New Roman"/>
          <w:i/>
          <w:sz w:val="20"/>
          <w:szCs w:val="20"/>
        </w:rPr>
        <w:t xml:space="preserve"> </w:t>
      </w:r>
      <w:r w:rsidRPr="00617A78">
        <w:rPr>
          <w:rFonts w:ascii="Times New Roman" w:hAnsi="Times New Roman" w:cs="Times New Roman"/>
          <w:sz w:val="20"/>
          <w:szCs w:val="20"/>
        </w:rPr>
        <w:t>created manifest disregard] has prompted a debate over whether the fifty-five-year-old doctrine is no longer good law, if indeed it ever was.”)</w:t>
      </w:r>
      <w:r>
        <w:rPr>
          <w:rFonts w:ascii="Times New Roman" w:hAnsi="Times New Roman" w:cs="Times New Roman"/>
          <w:sz w:val="20"/>
          <w:szCs w:val="20"/>
        </w:rPr>
        <w:t>.</w:t>
      </w:r>
      <w:r w:rsidRPr="00617A78">
        <w:rPr>
          <w:rFonts w:ascii="Times New Roman" w:hAnsi="Times New Roman" w:cs="Times New Roman"/>
          <w:sz w:val="20"/>
          <w:szCs w:val="20"/>
        </w:rPr>
        <w:t xml:space="preserve"> </w:t>
      </w:r>
    </w:p>
  </w:footnote>
  <w:footnote w:id="77">
    <w:p w14:paraId="0841A49F" w14:textId="67D4D71D" w:rsidR="00AD3492" w:rsidRPr="00617A78" w:rsidRDefault="00AD3492" w:rsidP="007C587F">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Gross,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_Ref355705266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10</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 at 236.</w:t>
      </w:r>
    </w:p>
  </w:footnote>
  <w:footnote w:id="78">
    <w:p w14:paraId="12896E81" w14:textId="069433A1" w:rsidR="00AD3492" w:rsidRPr="00617A78" w:rsidRDefault="00AD3492" w:rsidP="00C1332C">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Jonas </w:t>
      </w:r>
      <w:proofErr w:type="spellStart"/>
      <w:r w:rsidRPr="00617A78">
        <w:rPr>
          <w:rFonts w:ascii="Times New Roman" w:hAnsi="Times New Roman" w:cs="Times New Roman"/>
          <w:sz w:val="20"/>
          <w:szCs w:val="20"/>
        </w:rPr>
        <w:t>Cullemark</w:t>
      </w:r>
      <w:proofErr w:type="spellEnd"/>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 xml:space="preserve">Wachovia Securities, LLC v. Brand (2012): The Fourth Circuit’s Dubious Position in the Ongoing Federal Circuit Split in the Application of “Manifest Disregard of the Law” as a Basis for </w:t>
      </w:r>
      <w:proofErr w:type="spellStart"/>
      <w:r w:rsidRPr="00617A78">
        <w:rPr>
          <w:rFonts w:ascii="Times New Roman" w:hAnsi="Times New Roman" w:cs="Times New Roman"/>
          <w:i/>
          <w:sz w:val="20"/>
          <w:szCs w:val="20"/>
        </w:rPr>
        <w:t>Vacatur</w:t>
      </w:r>
      <w:proofErr w:type="spellEnd"/>
      <w:r w:rsidRPr="00617A78">
        <w:rPr>
          <w:rFonts w:ascii="Times New Roman" w:hAnsi="Times New Roman" w:cs="Times New Roman"/>
          <w:i/>
          <w:sz w:val="20"/>
          <w:szCs w:val="20"/>
        </w:rPr>
        <w:t xml:space="preserve"> of Arbitration Awards Following the U.S. Supreme Court’s Hall Street Decision (2008)</w:t>
      </w:r>
      <w:r w:rsidRPr="00617A78">
        <w:rPr>
          <w:rFonts w:ascii="Times New Roman" w:hAnsi="Times New Roman" w:cs="Times New Roman"/>
          <w:sz w:val="20"/>
          <w:szCs w:val="20"/>
        </w:rPr>
        <w:t xml:space="preserve">, 22 U. Miami Bus. L. Rev. 1, 13 (2013-2014). </w:t>
      </w:r>
    </w:p>
  </w:footnote>
  <w:footnote w:id="79">
    <w:p w14:paraId="327B53E4" w14:textId="28677148" w:rsidR="00AD3492" w:rsidRPr="00617A78" w:rsidRDefault="00AD3492" w:rsidP="007C587F">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Davis,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_Ref355706240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19</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 at 102-103.</w:t>
      </w:r>
    </w:p>
  </w:footnote>
  <w:footnote w:id="80">
    <w:p w14:paraId="404E2872" w14:textId="376384A5" w:rsidR="00AD3492" w:rsidRPr="00617A78" w:rsidRDefault="00AD3492" w:rsidP="00031E81">
      <w:pPr>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 xml:space="preserve">See </w:t>
      </w:r>
      <w:r w:rsidRPr="00617A78">
        <w:rPr>
          <w:rFonts w:ascii="Times New Roman" w:hAnsi="Times New Roman" w:cs="Times New Roman"/>
          <w:sz w:val="20"/>
          <w:szCs w:val="20"/>
        </w:rPr>
        <w:t xml:space="preserve">Davis,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_Ref355706240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19</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 xml:space="preserve">, at 103-107; Stanley A. </w:t>
      </w:r>
      <w:proofErr w:type="spellStart"/>
      <w:r w:rsidRPr="00617A78">
        <w:rPr>
          <w:rFonts w:ascii="Times New Roman" w:hAnsi="Times New Roman" w:cs="Times New Roman"/>
          <w:sz w:val="20"/>
          <w:szCs w:val="20"/>
        </w:rPr>
        <w:t>Leasure</w:t>
      </w:r>
      <w:proofErr w:type="spellEnd"/>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Arbitration Law in Tension After Hall Street: Accuracy or Finality?</w:t>
      </w:r>
      <w:r w:rsidRPr="00617A78">
        <w:rPr>
          <w:rFonts w:ascii="Times New Roman" w:hAnsi="Times New Roman" w:cs="Times New Roman"/>
          <w:sz w:val="20"/>
          <w:szCs w:val="20"/>
        </w:rPr>
        <w:t xml:space="preserve">, 39 UALR L. Rev. 74, 84-101 (2016); </w:t>
      </w:r>
      <w:proofErr w:type="spellStart"/>
      <w:r w:rsidRPr="00617A78">
        <w:rPr>
          <w:rFonts w:ascii="Times New Roman" w:hAnsi="Times New Roman" w:cs="Times New Roman"/>
          <w:sz w:val="20"/>
          <w:szCs w:val="20"/>
        </w:rPr>
        <w:t>Cullemark</w:t>
      </w:r>
      <w:proofErr w:type="spellEnd"/>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_Ref355711910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78</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 xml:space="preserve">, at 13-17; </w:t>
      </w:r>
      <w:proofErr w:type="spellStart"/>
      <w:r w:rsidRPr="00617A78">
        <w:rPr>
          <w:rFonts w:ascii="Times New Roman" w:hAnsi="Times New Roman" w:cs="Times New Roman"/>
          <w:sz w:val="20"/>
          <w:szCs w:val="20"/>
        </w:rPr>
        <w:t>Mylinda</w:t>
      </w:r>
      <w:proofErr w:type="spellEnd"/>
      <w:r w:rsidRPr="00617A78">
        <w:rPr>
          <w:rFonts w:ascii="Times New Roman" w:hAnsi="Times New Roman" w:cs="Times New Roman"/>
          <w:sz w:val="20"/>
          <w:szCs w:val="20"/>
        </w:rPr>
        <w:t xml:space="preserve"> K. Sims &amp; Richard A. Bales, </w:t>
      </w:r>
      <w:r w:rsidRPr="00617A78">
        <w:rPr>
          <w:rFonts w:ascii="Times New Roman" w:hAnsi="Times New Roman" w:cs="Times New Roman"/>
          <w:i/>
          <w:sz w:val="20"/>
          <w:szCs w:val="20"/>
        </w:rPr>
        <w:t>Much Ado About Nothing: The Future of Manifest Disregard After Hall Street</w:t>
      </w:r>
      <w:r w:rsidRPr="00617A78">
        <w:rPr>
          <w:rFonts w:ascii="Times New Roman" w:hAnsi="Times New Roman" w:cs="Times New Roman"/>
          <w:sz w:val="20"/>
          <w:szCs w:val="20"/>
        </w:rPr>
        <w:t xml:space="preserve">, 62 S. C.  L. Rev. 407, 424-430 (2010-2011). </w:t>
      </w:r>
      <w:r w:rsidRPr="00617A78">
        <w:rPr>
          <w:rFonts w:ascii="Times New Roman" w:hAnsi="Times New Roman" w:cs="Times New Roman"/>
          <w:i/>
          <w:sz w:val="20"/>
          <w:szCs w:val="20"/>
        </w:rPr>
        <w:t>See also</w:t>
      </w:r>
      <w:r w:rsidRPr="00617A78">
        <w:rPr>
          <w:rFonts w:ascii="Times New Roman" w:hAnsi="Times New Roman" w:cs="Times New Roman"/>
          <w:sz w:val="20"/>
          <w:szCs w:val="20"/>
        </w:rPr>
        <w:t>, Huber</w:t>
      </w:r>
      <w:r>
        <w:rPr>
          <w:rFonts w:ascii="Times New Roman" w:hAnsi="Times New Roman" w:cs="Times New Roman"/>
          <w:sz w:val="20"/>
          <w:szCs w:val="20"/>
        </w:rPr>
        <w:t xml:space="preserve">, </w:t>
      </w:r>
      <w:r>
        <w:rPr>
          <w:rFonts w:ascii="Times New Roman" w:hAnsi="Times New Roman" w:cs="Times New Roman"/>
          <w:i/>
          <w:sz w:val="20"/>
          <w:szCs w:val="20"/>
        </w:rPr>
        <w:t xml:space="preserve">supra </w:t>
      </w:r>
      <w:r>
        <w:rPr>
          <w:rFonts w:ascii="Times New Roman" w:hAnsi="Times New Roman" w:cs="Times New Roman"/>
          <w:sz w:val="20"/>
          <w:szCs w:val="20"/>
        </w:rPr>
        <w:t xml:space="preserve">note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NOTEREF _Ref355704865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8A45C8">
        <w:rPr>
          <w:rFonts w:ascii="Times New Roman" w:hAnsi="Times New Roman" w:cs="Times New Roman"/>
          <w:sz w:val="20"/>
          <w:szCs w:val="20"/>
        </w:rPr>
        <w:t>11</w:t>
      </w:r>
      <w:r>
        <w:rPr>
          <w:rFonts w:ascii="Times New Roman" w:hAnsi="Times New Roman" w:cs="Times New Roman"/>
          <w:sz w:val="20"/>
          <w:szCs w:val="20"/>
        </w:rPr>
        <w:fldChar w:fldCharType="end"/>
      </w:r>
      <w:r>
        <w:rPr>
          <w:rFonts w:ascii="Times New Roman" w:hAnsi="Times New Roman" w:cs="Times New Roman"/>
          <w:sz w:val="20"/>
          <w:szCs w:val="20"/>
        </w:rPr>
        <w:t>, at</w:t>
      </w:r>
      <w:r w:rsidRPr="00617A78">
        <w:rPr>
          <w:rFonts w:ascii="Times New Roman" w:hAnsi="Times New Roman" w:cs="Times New Roman"/>
          <w:sz w:val="20"/>
          <w:szCs w:val="20"/>
        </w:rPr>
        <w:t xml:space="preserve"> 560-577</w:t>
      </w:r>
      <w:r>
        <w:rPr>
          <w:rFonts w:ascii="Times New Roman" w:hAnsi="Times New Roman" w:cs="Times New Roman"/>
          <w:sz w:val="20"/>
          <w:szCs w:val="20"/>
        </w:rPr>
        <w:t>.</w:t>
      </w:r>
    </w:p>
  </w:footnote>
  <w:footnote w:id="81">
    <w:p w14:paraId="1172765B" w14:textId="3B28AC0B" w:rsidR="00AD3492" w:rsidRPr="00617A78" w:rsidRDefault="00AD3492" w:rsidP="007C587F">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proofErr w:type="spellStart"/>
      <w:r w:rsidRPr="00617A78">
        <w:rPr>
          <w:rFonts w:ascii="Times New Roman" w:hAnsi="Times New Roman" w:cs="Times New Roman"/>
          <w:sz w:val="20"/>
          <w:szCs w:val="20"/>
        </w:rPr>
        <w:t>Leasure</w:t>
      </w:r>
      <w:proofErr w:type="spellEnd"/>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_Ref355711964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80</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 at 84.</w:t>
      </w:r>
    </w:p>
  </w:footnote>
  <w:footnote w:id="82">
    <w:p w14:paraId="6F334BD6" w14:textId="33030889" w:rsidR="00AD3492" w:rsidRPr="00617A78" w:rsidRDefault="00AD3492" w:rsidP="007C587F">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Citigroup Global Markets, Inc. v. Bacon</w:t>
      </w:r>
      <w:r w:rsidRPr="00617A78">
        <w:rPr>
          <w:rFonts w:ascii="Times New Roman" w:hAnsi="Times New Roman" w:cs="Times New Roman"/>
          <w:sz w:val="20"/>
          <w:szCs w:val="20"/>
        </w:rPr>
        <w:t xml:space="preserve">, 562 F.3d 349, 350 (5th Cir. 2009). </w:t>
      </w:r>
    </w:p>
  </w:footnote>
  <w:footnote w:id="83">
    <w:p w14:paraId="1DF13539" w14:textId="397DC217" w:rsidR="00AD3492" w:rsidRPr="00617A78" w:rsidRDefault="00AD3492" w:rsidP="00F07A51">
      <w:pPr>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See id.</w:t>
      </w:r>
      <w:r w:rsidRPr="00617A78">
        <w:rPr>
          <w:rFonts w:ascii="Times New Roman" w:hAnsi="Times New Roman" w:cs="Times New Roman"/>
          <w:sz w:val="20"/>
          <w:szCs w:val="20"/>
        </w:rPr>
        <w:t xml:space="preserve">; </w:t>
      </w:r>
      <w:proofErr w:type="spellStart"/>
      <w:r w:rsidRPr="00617A78">
        <w:rPr>
          <w:rFonts w:ascii="Times New Roman" w:hAnsi="Times New Roman" w:cs="Times New Roman"/>
          <w:sz w:val="20"/>
          <w:szCs w:val="20"/>
        </w:rPr>
        <w:t>Leasure</w:t>
      </w:r>
      <w:proofErr w:type="spellEnd"/>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_Ref355711964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80</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 xml:space="preserve">, at 85; Leigh F. Gill, </w:t>
      </w:r>
      <w:r w:rsidRPr="00617A78">
        <w:rPr>
          <w:rFonts w:ascii="Times New Roman" w:hAnsi="Times New Roman" w:cs="Times New Roman"/>
          <w:i/>
          <w:sz w:val="20"/>
          <w:szCs w:val="20"/>
        </w:rPr>
        <w:t xml:space="preserve">Manifest Disregard </w:t>
      </w:r>
      <w:proofErr w:type="gramStart"/>
      <w:r w:rsidRPr="00617A78">
        <w:rPr>
          <w:rFonts w:ascii="Times New Roman" w:hAnsi="Times New Roman" w:cs="Times New Roman"/>
          <w:i/>
          <w:sz w:val="20"/>
          <w:szCs w:val="20"/>
        </w:rPr>
        <w:t>After</w:t>
      </w:r>
      <w:proofErr w:type="gramEnd"/>
      <w:r w:rsidRPr="00617A78">
        <w:rPr>
          <w:rFonts w:ascii="Times New Roman" w:hAnsi="Times New Roman" w:cs="Times New Roman"/>
          <w:i/>
          <w:sz w:val="20"/>
          <w:szCs w:val="20"/>
        </w:rPr>
        <w:t xml:space="preserve"> Hall Street: Back from the Dead—The Surprising Resilience of a Non-Statutory Ground for </w:t>
      </w:r>
      <w:proofErr w:type="spellStart"/>
      <w:r w:rsidRPr="00617A78">
        <w:rPr>
          <w:rFonts w:ascii="Times New Roman" w:hAnsi="Times New Roman" w:cs="Times New Roman"/>
          <w:i/>
          <w:sz w:val="20"/>
          <w:szCs w:val="20"/>
        </w:rPr>
        <w:t>Vacatur</w:t>
      </w:r>
      <w:proofErr w:type="spellEnd"/>
      <w:r w:rsidRPr="00617A78">
        <w:rPr>
          <w:rFonts w:ascii="Times New Roman" w:hAnsi="Times New Roman" w:cs="Times New Roman"/>
          <w:sz w:val="20"/>
          <w:szCs w:val="20"/>
        </w:rPr>
        <w:t xml:space="preserve">, 15 Lewis &amp; Clark L. Rev. 265, 272 (2011). </w:t>
      </w:r>
    </w:p>
  </w:footnote>
  <w:footnote w:id="84">
    <w:p w14:paraId="49939583" w14:textId="096225DA" w:rsidR="00AD3492" w:rsidRPr="00617A78" w:rsidRDefault="00AD3492" w:rsidP="007C587F">
      <w:pPr>
        <w:widowControl w:val="0"/>
        <w:autoSpaceDE w:val="0"/>
        <w:autoSpaceDN w:val="0"/>
        <w:adjustRightInd w:val="0"/>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Citigroup Global Markets</w:t>
      </w:r>
      <w:r w:rsidRPr="00617A78">
        <w:rPr>
          <w:rFonts w:ascii="Times New Roman" w:hAnsi="Times New Roman" w:cs="Times New Roman"/>
          <w:sz w:val="20"/>
          <w:szCs w:val="20"/>
        </w:rPr>
        <w:t xml:space="preserve">, 562 F.3d at 358 (“In the light of the Supreme Court's clear language that, under the FAA, the statutory provisions are the exclusive grounds for </w:t>
      </w:r>
      <w:proofErr w:type="spellStart"/>
      <w:r w:rsidRPr="00617A78">
        <w:rPr>
          <w:rFonts w:ascii="Times New Roman" w:hAnsi="Times New Roman" w:cs="Times New Roman"/>
          <w:sz w:val="20"/>
          <w:szCs w:val="20"/>
        </w:rPr>
        <w:t>vacatur</w:t>
      </w:r>
      <w:proofErr w:type="spellEnd"/>
      <w:r w:rsidRPr="00617A78">
        <w:rPr>
          <w:rFonts w:ascii="Times New Roman" w:hAnsi="Times New Roman" w:cs="Times New Roman"/>
          <w:sz w:val="20"/>
          <w:szCs w:val="20"/>
        </w:rPr>
        <w:t xml:space="preserve">, manifest disregard of the law as an independent, </w:t>
      </w:r>
      <w:proofErr w:type="spellStart"/>
      <w:r w:rsidRPr="00617A78">
        <w:rPr>
          <w:rFonts w:ascii="Times New Roman" w:hAnsi="Times New Roman" w:cs="Times New Roman"/>
          <w:sz w:val="20"/>
          <w:szCs w:val="20"/>
        </w:rPr>
        <w:t>nonstatutory</w:t>
      </w:r>
      <w:proofErr w:type="spellEnd"/>
      <w:r w:rsidRPr="00617A78">
        <w:rPr>
          <w:rFonts w:ascii="Times New Roman" w:hAnsi="Times New Roman" w:cs="Times New Roman"/>
          <w:sz w:val="20"/>
          <w:szCs w:val="20"/>
        </w:rPr>
        <w:t xml:space="preserve"> ground for setting aside an award must be abandoned and rejected.”). </w:t>
      </w:r>
      <w:r w:rsidRPr="00617A78">
        <w:rPr>
          <w:rFonts w:ascii="Times New Roman" w:hAnsi="Times New Roman" w:cs="Times New Roman"/>
          <w:i/>
          <w:sz w:val="20"/>
          <w:szCs w:val="20"/>
        </w:rPr>
        <w:t xml:space="preserve"> </w:t>
      </w:r>
    </w:p>
  </w:footnote>
  <w:footnote w:id="85">
    <w:p w14:paraId="3DDB9935" w14:textId="3BBBFCA4" w:rsidR="00AD3492" w:rsidRPr="00617A78" w:rsidRDefault="00AD3492" w:rsidP="007C587F">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See id.</w:t>
      </w:r>
      <w:r w:rsidRPr="00617A78">
        <w:rPr>
          <w:rFonts w:ascii="Times New Roman" w:hAnsi="Times New Roman" w:cs="Times New Roman"/>
          <w:sz w:val="20"/>
          <w:szCs w:val="20"/>
        </w:rPr>
        <w:t xml:space="preserve">; </w:t>
      </w:r>
      <w:proofErr w:type="spellStart"/>
      <w:r w:rsidRPr="00617A78">
        <w:rPr>
          <w:rFonts w:ascii="Times New Roman" w:hAnsi="Times New Roman" w:cs="Times New Roman"/>
          <w:sz w:val="20"/>
          <w:szCs w:val="20"/>
        </w:rPr>
        <w:t>Cullemark</w:t>
      </w:r>
      <w:proofErr w:type="spellEnd"/>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_Ref355711910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78</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 at 15</w:t>
      </w:r>
      <w:proofErr w:type="gramStart"/>
      <w:r w:rsidRPr="00617A78">
        <w:rPr>
          <w:rFonts w:ascii="Times New Roman" w:hAnsi="Times New Roman" w:cs="Times New Roman"/>
          <w:sz w:val="20"/>
          <w:szCs w:val="20"/>
        </w:rPr>
        <w:t>;  Gill</w:t>
      </w:r>
      <w:proofErr w:type="gramEnd"/>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_Ref355712273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83</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 xml:space="preserve">, at 272; Sims &amp; Bales,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_Ref355711964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80</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 xml:space="preserve">, at 425. </w:t>
      </w:r>
    </w:p>
  </w:footnote>
  <w:footnote w:id="86">
    <w:p w14:paraId="2C915F32" w14:textId="5AAF514E" w:rsidR="00AD3492" w:rsidRPr="00617A78" w:rsidRDefault="00AD3492" w:rsidP="00DD65E5">
      <w:pPr>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r w:rsidRPr="00617A78">
        <w:rPr>
          <w:rFonts w:ascii="Times New Roman" w:hAnsi="Times New Roman" w:cs="Times New Roman"/>
          <w:i/>
          <w:iCs/>
          <w:sz w:val="20"/>
          <w:szCs w:val="20"/>
        </w:rPr>
        <w:t xml:space="preserve">Citigroup Global </w:t>
      </w:r>
      <w:proofErr w:type="spellStart"/>
      <w:r w:rsidRPr="00617A78">
        <w:rPr>
          <w:rFonts w:ascii="Times New Roman" w:hAnsi="Times New Roman" w:cs="Times New Roman"/>
          <w:i/>
          <w:iCs/>
          <w:sz w:val="20"/>
          <w:szCs w:val="20"/>
        </w:rPr>
        <w:t>Mkts</w:t>
      </w:r>
      <w:proofErr w:type="spellEnd"/>
      <w:r w:rsidRPr="00617A78">
        <w:rPr>
          <w:rFonts w:ascii="Times New Roman" w:hAnsi="Times New Roman" w:cs="Times New Roman"/>
          <w:i/>
          <w:iCs/>
          <w:sz w:val="20"/>
          <w:szCs w:val="20"/>
        </w:rPr>
        <w:t>.</w:t>
      </w:r>
      <w:r w:rsidRPr="00617A78">
        <w:rPr>
          <w:rFonts w:ascii="Times New Roman" w:hAnsi="Times New Roman" w:cs="Times New Roman"/>
          <w:iCs/>
          <w:sz w:val="20"/>
          <w:szCs w:val="20"/>
        </w:rPr>
        <w:t xml:space="preserve">, </w:t>
      </w:r>
      <w:proofErr w:type="gramStart"/>
      <w:r w:rsidRPr="00617A78">
        <w:rPr>
          <w:rFonts w:ascii="Times New Roman" w:hAnsi="Times New Roman" w:cs="Times New Roman"/>
          <w:sz w:val="20"/>
          <w:szCs w:val="20"/>
        </w:rPr>
        <w:t>562 F.3d at 358</w:t>
      </w:r>
      <w:proofErr w:type="gramEnd"/>
      <w:r w:rsidRPr="00617A78">
        <w:rPr>
          <w:rFonts w:ascii="Times New Roman" w:hAnsi="Times New Roman" w:cs="Times New Roman"/>
          <w:sz w:val="20"/>
          <w:szCs w:val="20"/>
        </w:rPr>
        <w:t xml:space="preserve">. Although manifest disregard as a non-statutory, common-law, ground for </w:t>
      </w:r>
      <w:proofErr w:type="spellStart"/>
      <w:r w:rsidRPr="00617A78">
        <w:rPr>
          <w:rFonts w:ascii="Times New Roman" w:hAnsi="Times New Roman" w:cs="Times New Roman"/>
          <w:sz w:val="20"/>
          <w:szCs w:val="20"/>
        </w:rPr>
        <w:t>vacatur</w:t>
      </w:r>
      <w:proofErr w:type="spellEnd"/>
      <w:r w:rsidRPr="00617A78">
        <w:rPr>
          <w:rFonts w:ascii="Times New Roman" w:hAnsi="Times New Roman" w:cs="Times New Roman"/>
          <w:sz w:val="20"/>
          <w:szCs w:val="20"/>
        </w:rPr>
        <w:t xml:space="preserve"> may not have survived </w:t>
      </w:r>
      <w:r w:rsidRPr="00617A78">
        <w:rPr>
          <w:rFonts w:ascii="Times New Roman" w:hAnsi="Times New Roman" w:cs="Times New Roman"/>
          <w:i/>
          <w:sz w:val="20"/>
          <w:szCs w:val="20"/>
        </w:rPr>
        <w:t>Hall Street</w:t>
      </w:r>
      <w:r w:rsidRPr="00617A78">
        <w:rPr>
          <w:rFonts w:ascii="Times New Roman" w:hAnsi="Times New Roman" w:cs="Times New Roman"/>
          <w:sz w:val="20"/>
          <w:szCs w:val="20"/>
        </w:rPr>
        <w:t xml:space="preserve">, according to John and Ari </w:t>
      </w:r>
      <w:proofErr w:type="spellStart"/>
      <w:r w:rsidRPr="00617A78">
        <w:rPr>
          <w:rFonts w:ascii="Times New Roman" w:hAnsi="Times New Roman" w:cs="Times New Roman"/>
          <w:sz w:val="20"/>
          <w:szCs w:val="20"/>
        </w:rPr>
        <w:t>Diaconis</w:t>
      </w:r>
      <w:proofErr w:type="spellEnd"/>
      <w:r w:rsidRPr="00617A78">
        <w:rPr>
          <w:rFonts w:ascii="Times New Roman" w:hAnsi="Times New Roman" w:cs="Times New Roman"/>
          <w:sz w:val="20"/>
          <w:szCs w:val="20"/>
        </w:rPr>
        <w:t xml:space="preserve">, manifest disregard “did survive </w:t>
      </w:r>
      <w:r w:rsidRPr="00617A78">
        <w:rPr>
          <w:rFonts w:ascii="Times New Roman" w:hAnsi="Times New Roman" w:cs="Times New Roman"/>
          <w:i/>
          <w:sz w:val="20"/>
          <w:szCs w:val="20"/>
        </w:rPr>
        <w:t xml:space="preserve">Hall Street </w:t>
      </w:r>
      <w:r w:rsidRPr="00617A78">
        <w:rPr>
          <w:rFonts w:ascii="Times New Roman" w:hAnsi="Times New Roman" w:cs="Times New Roman"/>
          <w:sz w:val="20"/>
          <w:szCs w:val="20"/>
        </w:rPr>
        <w:t xml:space="preserve">insofar as an arbitrator will ‘exceed its power’ under FAA Section 10(a)(4) when it ‘is fully award of [a] controlling principle of law and yet does not apply it.’” John and Ari </w:t>
      </w:r>
      <w:proofErr w:type="spellStart"/>
      <w:r w:rsidRPr="00617A78">
        <w:rPr>
          <w:rFonts w:ascii="Times New Roman" w:hAnsi="Times New Roman" w:cs="Times New Roman"/>
          <w:sz w:val="20"/>
          <w:szCs w:val="20"/>
        </w:rPr>
        <w:t>Diaconis</w:t>
      </w:r>
      <w:proofErr w:type="spellEnd"/>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_Ref355710474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23</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 xml:space="preserve">, at 19 (quoting </w:t>
      </w:r>
      <w:r w:rsidRPr="00617A78">
        <w:rPr>
          <w:rFonts w:ascii="Times New Roman" w:hAnsi="Times New Roman" w:cs="Times New Roman"/>
          <w:i/>
          <w:iCs/>
          <w:sz w:val="20"/>
          <w:szCs w:val="20"/>
        </w:rPr>
        <w:t xml:space="preserve">Citigroup Global </w:t>
      </w:r>
      <w:proofErr w:type="spellStart"/>
      <w:r w:rsidRPr="00617A78">
        <w:rPr>
          <w:rFonts w:ascii="Times New Roman" w:hAnsi="Times New Roman" w:cs="Times New Roman"/>
          <w:i/>
          <w:iCs/>
          <w:sz w:val="20"/>
          <w:szCs w:val="20"/>
        </w:rPr>
        <w:t>Mkts</w:t>
      </w:r>
      <w:proofErr w:type="spellEnd"/>
      <w:r w:rsidRPr="00617A78">
        <w:rPr>
          <w:rFonts w:ascii="Times New Roman" w:hAnsi="Times New Roman" w:cs="Times New Roman"/>
          <w:i/>
          <w:iCs/>
          <w:sz w:val="20"/>
          <w:szCs w:val="20"/>
        </w:rPr>
        <w:t>. Inc. v Bacon</w:t>
      </w:r>
      <w:r w:rsidRPr="00617A78">
        <w:rPr>
          <w:rFonts w:ascii="Times New Roman" w:hAnsi="Times New Roman" w:cs="Times New Roman"/>
          <w:sz w:val="20"/>
          <w:szCs w:val="20"/>
        </w:rPr>
        <w:t xml:space="preserve">, 562 F3d 349, 357-58 (5th Cir 2009)). However, John and Ari note that the Fifth Circuit tends to perceive the phrase “manifest disregard” negatively; as a result, “litigants should refer to only FAA Section 10(a)(4) when arguing on what would otherwise be manifest disregard grounds.” </w:t>
      </w:r>
      <w:r w:rsidRPr="00617A78">
        <w:rPr>
          <w:rFonts w:ascii="Times New Roman" w:hAnsi="Times New Roman" w:cs="Times New Roman"/>
          <w:i/>
          <w:sz w:val="20"/>
          <w:szCs w:val="20"/>
        </w:rPr>
        <w:t>Id. See also</w:t>
      </w:r>
      <w:r w:rsidRPr="00617A78">
        <w:rPr>
          <w:rFonts w:ascii="Times New Roman" w:hAnsi="Times New Roman" w:cs="Times New Roman"/>
          <w:sz w:val="20"/>
          <w:szCs w:val="20"/>
        </w:rPr>
        <w:t xml:space="preserve">, </w:t>
      </w:r>
      <w:proofErr w:type="spellStart"/>
      <w:r w:rsidRPr="00617A78">
        <w:rPr>
          <w:rFonts w:ascii="Times New Roman" w:hAnsi="Times New Roman" w:cs="Times New Roman"/>
          <w:i/>
          <w:iCs/>
          <w:sz w:val="20"/>
          <w:szCs w:val="20"/>
        </w:rPr>
        <w:t>McKool</w:t>
      </w:r>
      <w:proofErr w:type="spellEnd"/>
      <w:r w:rsidRPr="00617A78">
        <w:rPr>
          <w:rFonts w:ascii="Times New Roman" w:hAnsi="Times New Roman" w:cs="Times New Roman"/>
          <w:i/>
          <w:iCs/>
          <w:sz w:val="20"/>
          <w:szCs w:val="20"/>
        </w:rPr>
        <w:t xml:space="preserve"> Smith, P.C. v. Curtis Int'l, Ltd.</w:t>
      </w:r>
      <w:r w:rsidRPr="00617A78">
        <w:rPr>
          <w:rFonts w:ascii="Times New Roman" w:hAnsi="Times New Roman" w:cs="Times New Roman"/>
          <w:sz w:val="20"/>
          <w:szCs w:val="20"/>
        </w:rPr>
        <w:t xml:space="preserve">, 650 F. </w:t>
      </w:r>
      <w:proofErr w:type="spellStart"/>
      <w:r w:rsidRPr="00617A78">
        <w:rPr>
          <w:rFonts w:ascii="Times New Roman" w:hAnsi="Times New Roman" w:cs="Times New Roman"/>
          <w:sz w:val="20"/>
          <w:szCs w:val="20"/>
        </w:rPr>
        <w:t>App'x</w:t>
      </w:r>
      <w:proofErr w:type="spellEnd"/>
      <w:r w:rsidRPr="00617A78">
        <w:rPr>
          <w:rFonts w:ascii="Times New Roman" w:hAnsi="Times New Roman" w:cs="Times New Roman"/>
          <w:sz w:val="20"/>
          <w:szCs w:val="20"/>
        </w:rPr>
        <w:t xml:space="preserve"> 208, 213 (5th Cir. 2016) (“Assuming—without deciding—that manifest disregard of the law can be a </w:t>
      </w:r>
      <w:r w:rsidRPr="00617A78">
        <w:rPr>
          <w:rFonts w:ascii="Times New Roman" w:hAnsi="Times New Roman" w:cs="Times New Roman"/>
          <w:i/>
          <w:iCs/>
          <w:sz w:val="20"/>
          <w:szCs w:val="20"/>
        </w:rPr>
        <w:t>statutory</w:t>
      </w:r>
      <w:r w:rsidRPr="00617A78">
        <w:rPr>
          <w:rFonts w:ascii="Times New Roman" w:hAnsi="Times New Roman" w:cs="Times New Roman"/>
          <w:sz w:val="20"/>
          <w:szCs w:val="20"/>
        </w:rPr>
        <w:t xml:space="preserve"> basis for </w:t>
      </w:r>
      <w:proofErr w:type="spellStart"/>
      <w:r w:rsidRPr="00617A78">
        <w:rPr>
          <w:rFonts w:ascii="Times New Roman" w:hAnsi="Times New Roman" w:cs="Times New Roman"/>
          <w:sz w:val="20"/>
          <w:szCs w:val="20"/>
        </w:rPr>
        <w:t>vacatur</w:t>
      </w:r>
      <w:proofErr w:type="spellEnd"/>
      <w:r w:rsidRPr="00617A78">
        <w:rPr>
          <w:rFonts w:ascii="Times New Roman" w:hAnsi="Times New Roman" w:cs="Times New Roman"/>
          <w:sz w:val="20"/>
          <w:szCs w:val="20"/>
        </w:rPr>
        <w:t xml:space="preserve">, Curtis fails to show that the arbitration award was in manifest disregard of Texas law.”). </w:t>
      </w:r>
    </w:p>
  </w:footnote>
  <w:footnote w:id="87">
    <w:p w14:paraId="744B19A2" w14:textId="1C253C54" w:rsidR="00AD3492" w:rsidRPr="00617A78" w:rsidRDefault="00AD3492" w:rsidP="007C587F">
      <w:pPr>
        <w:widowControl w:val="0"/>
        <w:autoSpaceDE w:val="0"/>
        <w:autoSpaceDN w:val="0"/>
        <w:adjustRightInd w:val="0"/>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r w:rsidRPr="00617A78">
        <w:rPr>
          <w:rFonts w:ascii="Times New Roman" w:hAnsi="Times New Roman" w:cs="Times New Roman"/>
          <w:i/>
          <w:iCs/>
          <w:sz w:val="20"/>
          <w:szCs w:val="20"/>
        </w:rPr>
        <w:t xml:space="preserve">Med. Shoppe Int'l, Inc. v Turner </w:t>
      </w:r>
      <w:proofErr w:type="spellStart"/>
      <w:r w:rsidRPr="00617A78">
        <w:rPr>
          <w:rFonts w:ascii="Times New Roman" w:hAnsi="Times New Roman" w:cs="Times New Roman"/>
          <w:i/>
          <w:iCs/>
          <w:sz w:val="20"/>
          <w:szCs w:val="20"/>
        </w:rPr>
        <w:t>Invs</w:t>
      </w:r>
      <w:proofErr w:type="spellEnd"/>
      <w:r w:rsidRPr="00617A78">
        <w:rPr>
          <w:rFonts w:ascii="Times New Roman" w:hAnsi="Times New Roman" w:cs="Times New Roman"/>
          <w:i/>
          <w:iCs/>
          <w:sz w:val="20"/>
          <w:szCs w:val="20"/>
        </w:rPr>
        <w:t>., Inc.</w:t>
      </w:r>
      <w:r w:rsidRPr="00617A78">
        <w:rPr>
          <w:rFonts w:ascii="Times New Roman" w:hAnsi="Times New Roman" w:cs="Times New Roman"/>
          <w:sz w:val="20"/>
          <w:szCs w:val="20"/>
        </w:rPr>
        <w:t xml:space="preserve">, 614 F.3d 485, 489 (8th Cir. 2010) (“We have previously recognized the holding in </w:t>
      </w:r>
      <w:r w:rsidRPr="00617A78">
        <w:rPr>
          <w:rFonts w:ascii="Times New Roman" w:hAnsi="Times New Roman" w:cs="Times New Roman"/>
          <w:i/>
          <w:iCs/>
          <w:sz w:val="20"/>
          <w:szCs w:val="20"/>
        </w:rPr>
        <w:t>Hall Street</w:t>
      </w:r>
      <w:r w:rsidRPr="00617A78">
        <w:rPr>
          <w:rFonts w:ascii="Times New Roman" w:hAnsi="Times New Roman" w:cs="Times New Roman"/>
          <w:sz w:val="20"/>
          <w:szCs w:val="20"/>
        </w:rPr>
        <w:t xml:space="preserve"> and similarly hold now that an arbitral award may be vacated only for the reasons enumerated in the FAA. </w:t>
      </w:r>
      <w:r w:rsidRPr="00617A78">
        <w:rPr>
          <w:rFonts w:ascii="Times New Roman" w:hAnsi="Times New Roman" w:cs="Times New Roman"/>
          <w:i/>
          <w:iCs/>
          <w:sz w:val="20"/>
          <w:szCs w:val="20"/>
        </w:rPr>
        <w:t xml:space="preserve">See Crawford Group, Inc. v. </w:t>
      </w:r>
      <w:proofErr w:type="spellStart"/>
      <w:r w:rsidRPr="00617A78">
        <w:rPr>
          <w:rFonts w:ascii="Times New Roman" w:hAnsi="Times New Roman" w:cs="Times New Roman"/>
          <w:i/>
          <w:iCs/>
          <w:sz w:val="20"/>
          <w:szCs w:val="20"/>
        </w:rPr>
        <w:t>Holekamp</w:t>
      </w:r>
      <w:proofErr w:type="spellEnd"/>
      <w:r w:rsidRPr="00617A78">
        <w:rPr>
          <w:rFonts w:ascii="Times New Roman" w:hAnsi="Times New Roman" w:cs="Times New Roman"/>
          <w:sz w:val="20"/>
          <w:szCs w:val="20"/>
        </w:rPr>
        <w:t xml:space="preserve">, 543 F.3d 971, 976 (8th Cir. 2008) (citing </w:t>
      </w:r>
      <w:r w:rsidRPr="00617A78">
        <w:rPr>
          <w:rFonts w:ascii="Times New Roman" w:hAnsi="Times New Roman" w:cs="Times New Roman"/>
          <w:i/>
          <w:iCs/>
          <w:sz w:val="20"/>
          <w:szCs w:val="20"/>
        </w:rPr>
        <w:t>Hall Street</w:t>
      </w:r>
      <w:r w:rsidRPr="00617A78">
        <w:rPr>
          <w:rFonts w:ascii="Times New Roman" w:hAnsi="Times New Roman" w:cs="Times New Roman"/>
          <w:sz w:val="20"/>
          <w:szCs w:val="20"/>
        </w:rPr>
        <w:t>, 552 U.S. at 584).”)</w:t>
      </w:r>
      <w:r>
        <w:rPr>
          <w:rFonts w:ascii="Times New Roman" w:hAnsi="Times New Roman" w:cs="Times New Roman"/>
          <w:sz w:val="20"/>
          <w:szCs w:val="20"/>
        </w:rPr>
        <w:t>.</w:t>
      </w:r>
    </w:p>
  </w:footnote>
  <w:footnote w:id="88">
    <w:p w14:paraId="002351DE" w14:textId="378A91E6" w:rsidR="00AD3492" w:rsidRPr="00617A78" w:rsidRDefault="00AD3492" w:rsidP="007C587F">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proofErr w:type="spellStart"/>
      <w:r w:rsidRPr="00617A78">
        <w:rPr>
          <w:rFonts w:ascii="Times New Roman" w:hAnsi="Times New Roman" w:cs="Times New Roman"/>
          <w:sz w:val="20"/>
          <w:szCs w:val="20"/>
        </w:rPr>
        <w:t>Leasure</w:t>
      </w:r>
      <w:proofErr w:type="spellEnd"/>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_Ref355711964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80</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 xml:space="preserve">, at 87. </w:t>
      </w:r>
    </w:p>
  </w:footnote>
  <w:footnote w:id="89">
    <w:p w14:paraId="6608686B" w14:textId="5B88147E" w:rsidR="00AD3492" w:rsidRPr="00617A78" w:rsidRDefault="00AD3492" w:rsidP="007C587F">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r w:rsidRPr="00617A78">
        <w:rPr>
          <w:rFonts w:ascii="Times New Roman" w:hAnsi="Times New Roman" w:cs="Times New Roman"/>
          <w:i/>
          <w:iCs/>
          <w:sz w:val="20"/>
          <w:szCs w:val="20"/>
        </w:rPr>
        <w:t>Med. Shoppe Int'l</w:t>
      </w:r>
      <w:r w:rsidRPr="00617A78">
        <w:rPr>
          <w:rFonts w:ascii="Times New Roman" w:hAnsi="Times New Roman" w:cs="Times New Roman"/>
          <w:iCs/>
          <w:sz w:val="20"/>
          <w:szCs w:val="20"/>
        </w:rPr>
        <w:t>,</w:t>
      </w:r>
      <w:r w:rsidRPr="00617A78">
        <w:rPr>
          <w:rFonts w:ascii="Times New Roman" w:hAnsi="Times New Roman" w:cs="Times New Roman"/>
          <w:i/>
          <w:iCs/>
          <w:sz w:val="20"/>
          <w:szCs w:val="20"/>
        </w:rPr>
        <w:t xml:space="preserve"> </w:t>
      </w:r>
      <w:r w:rsidRPr="00617A78">
        <w:rPr>
          <w:rFonts w:ascii="Times New Roman" w:hAnsi="Times New Roman" w:cs="Times New Roman"/>
          <w:sz w:val="20"/>
          <w:szCs w:val="20"/>
        </w:rPr>
        <w:t xml:space="preserve">614 F.3d at 489 (citing </w:t>
      </w:r>
      <w:r w:rsidRPr="00617A78">
        <w:rPr>
          <w:rFonts w:ascii="Times New Roman" w:hAnsi="Times New Roman" w:cs="Times New Roman"/>
          <w:i/>
          <w:sz w:val="20"/>
          <w:szCs w:val="20"/>
        </w:rPr>
        <w:t xml:space="preserve">Hall Street, </w:t>
      </w:r>
      <w:r w:rsidRPr="00617A78">
        <w:rPr>
          <w:rFonts w:ascii="Times New Roman" w:hAnsi="Times New Roman" w:cs="Times New Roman"/>
          <w:sz w:val="20"/>
          <w:szCs w:val="20"/>
        </w:rPr>
        <w:t>552 U.S. at 586)</w:t>
      </w:r>
      <w:r>
        <w:rPr>
          <w:rFonts w:ascii="Times New Roman" w:hAnsi="Times New Roman" w:cs="Times New Roman"/>
          <w:sz w:val="20"/>
          <w:szCs w:val="20"/>
        </w:rPr>
        <w:t>.</w:t>
      </w:r>
    </w:p>
  </w:footnote>
  <w:footnote w:id="90">
    <w:p w14:paraId="6B9AC89B" w14:textId="29EAF2A3" w:rsidR="00AD3492" w:rsidRPr="00617A78" w:rsidRDefault="00AD3492" w:rsidP="007C587F">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r w:rsidRPr="00617A78">
        <w:rPr>
          <w:rFonts w:ascii="Times New Roman" w:hAnsi="Times New Roman" w:cs="Times New Roman"/>
          <w:i/>
          <w:iCs/>
          <w:sz w:val="20"/>
          <w:szCs w:val="20"/>
        </w:rPr>
        <w:t xml:space="preserve">Air Line Pilots </w:t>
      </w:r>
      <w:proofErr w:type="spellStart"/>
      <w:r w:rsidRPr="00617A78">
        <w:rPr>
          <w:rFonts w:ascii="Times New Roman" w:hAnsi="Times New Roman" w:cs="Times New Roman"/>
          <w:i/>
          <w:iCs/>
          <w:sz w:val="20"/>
          <w:szCs w:val="20"/>
        </w:rPr>
        <w:t>Ass’n</w:t>
      </w:r>
      <w:proofErr w:type="spellEnd"/>
      <w:r w:rsidRPr="00617A78">
        <w:rPr>
          <w:rFonts w:ascii="Times New Roman" w:hAnsi="Times New Roman" w:cs="Times New Roman"/>
          <w:i/>
          <w:iCs/>
          <w:sz w:val="20"/>
          <w:szCs w:val="20"/>
        </w:rPr>
        <w:t xml:space="preserve"> Int'l v Trans States Airlines, LLC</w:t>
      </w:r>
      <w:r w:rsidRPr="00617A78">
        <w:rPr>
          <w:rFonts w:ascii="Times New Roman" w:hAnsi="Times New Roman" w:cs="Times New Roman"/>
          <w:sz w:val="20"/>
          <w:szCs w:val="20"/>
        </w:rPr>
        <w:t xml:space="preserve">, 638 F.3d 572, 579 (8th Cir. 2011). </w:t>
      </w:r>
    </w:p>
  </w:footnote>
  <w:footnote w:id="91">
    <w:p w14:paraId="2C0ED493" w14:textId="5FAE1D02" w:rsidR="00AD3492" w:rsidRPr="00617A78" w:rsidRDefault="00AD3492" w:rsidP="007C587F">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John &amp; Ari </w:t>
      </w:r>
      <w:proofErr w:type="spellStart"/>
      <w:r w:rsidRPr="00617A78">
        <w:rPr>
          <w:rFonts w:ascii="Times New Roman" w:hAnsi="Times New Roman" w:cs="Times New Roman"/>
          <w:sz w:val="20"/>
          <w:szCs w:val="20"/>
        </w:rPr>
        <w:t>Draconis</w:t>
      </w:r>
      <w:proofErr w:type="spellEnd"/>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_Ref355710474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23</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 at 20-21.</w:t>
      </w:r>
    </w:p>
  </w:footnote>
  <w:footnote w:id="92">
    <w:p w14:paraId="4FFDE564" w14:textId="50BAFC86" w:rsidR="00AD3492" w:rsidRPr="00617A78" w:rsidRDefault="00AD3492" w:rsidP="007C587F">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r w:rsidRPr="00617A78">
        <w:rPr>
          <w:rFonts w:ascii="Times New Roman" w:hAnsi="Times New Roman" w:cs="Times New Roman"/>
          <w:i/>
          <w:iCs/>
          <w:sz w:val="20"/>
          <w:szCs w:val="20"/>
        </w:rPr>
        <w:t xml:space="preserve">Frazier v </w:t>
      </w:r>
      <w:proofErr w:type="spellStart"/>
      <w:r w:rsidRPr="00617A78">
        <w:rPr>
          <w:rFonts w:ascii="Times New Roman" w:hAnsi="Times New Roman" w:cs="Times New Roman"/>
          <w:i/>
          <w:iCs/>
          <w:sz w:val="20"/>
          <w:szCs w:val="20"/>
        </w:rPr>
        <w:t>Citifinancial</w:t>
      </w:r>
      <w:proofErr w:type="spellEnd"/>
      <w:r w:rsidRPr="00617A78">
        <w:rPr>
          <w:rFonts w:ascii="Times New Roman" w:hAnsi="Times New Roman" w:cs="Times New Roman"/>
          <w:i/>
          <w:iCs/>
          <w:sz w:val="20"/>
          <w:szCs w:val="20"/>
        </w:rPr>
        <w:t xml:space="preserve"> Corp., LLC</w:t>
      </w:r>
      <w:r w:rsidRPr="00617A78">
        <w:rPr>
          <w:rFonts w:ascii="Times New Roman" w:hAnsi="Times New Roman" w:cs="Times New Roman"/>
          <w:sz w:val="20"/>
          <w:szCs w:val="20"/>
        </w:rPr>
        <w:t>, 604 F.3d 1313 (11th Cir. 2010).</w:t>
      </w:r>
    </w:p>
  </w:footnote>
  <w:footnote w:id="93">
    <w:p w14:paraId="5A560CEF" w14:textId="3AEBBAE9" w:rsidR="00AD3492" w:rsidRPr="00617A78" w:rsidRDefault="00AD3492" w:rsidP="007C587F">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proofErr w:type="gramStart"/>
      <w:r w:rsidRPr="00617A78">
        <w:rPr>
          <w:rFonts w:ascii="Times New Roman" w:hAnsi="Times New Roman" w:cs="Times New Roman"/>
          <w:i/>
          <w:iCs/>
          <w:sz w:val="20"/>
          <w:szCs w:val="20"/>
        </w:rPr>
        <w:t>Id</w:t>
      </w:r>
      <w:r w:rsidRPr="00617A78">
        <w:rPr>
          <w:rFonts w:ascii="Times New Roman" w:hAnsi="Times New Roman" w:cs="Times New Roman"/>
          <w:iCs/>
          <w:sz w:val="20"/>
          <w:szCs w:val="20"/>
        </w:rPr>
        <w:t>. at</w:t>
      </w:r>
      <w:r w:rsidRPr="00617A78">
        <w:rPr>
          <w:rFonts w:ascii="Times New Roman" w:hAnsi="Times New Roman" w:cs="Times New Roman"/>
          <w:i/>
          <w:iCs/>
          <w:sz w:val="20"/>
          <w:szCs w:val="20"/>
        </w:rPr>
        <w:t xml:space="preserve"> </w:t>
      </w:r>
      <w:r w:rsidRPr="00617A78">
        <w:rPr>
          <w:rFonts w:ascii="Times New Roman" w:hAnsi="Times New Roman" w:cs="Times New Roman"/>
          <w:sz w:val="20"/>
          <w:szCs w:val="20"/>
        </w:rPr>
        <w:t>1324.</w:t>
      </w:r>
      <w:proofErr w:type="gramEnd"/>
      <w:r w:rsidRPr="00617A78">
        <w:rPr>
          <w:rFonts w:ascii="Times New Roman" w:hAnsi="Times New Roman" w:cs="Times New Roman"/>
          <w:sz w:val="20"/>
          <w:szCs w:val="20"/>
        </w:rPr>
        <w:t xml:space="preserve"> </w:t>
      </w:r>
    </w:p>
  </w:footnote>
  <w:footnote w:id="94">
    <w:p w14:paraId="323B2456" w14:textId="099C628C" w:rsidR="00AD3492" w:rsidRPr="00617A78" w:rsidRDefault="00AD3492" w:rsidP="007C587F">
      <w:pPr>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r w:rsidRPr="00617A78">
        <w:rPr>
          <w:rFonts w:ascii="Times New Roman" w:hAnsi="Times New Roman" w:cs="Times New Roman"/>
          <w:i/>
          <w:iCs/>
          <w:sz w:val="20"/>
          <w:szCs w:val="20"/>
        </w:rPr>
        <w:t>Id.</w:t>
      </w:r>
      <w:r w:rsidRPr="00617A78">
        <w:rPr>
          <w:rFonts w:ascii="Times New Roman" w:hAnsi="Times New Roman" w:cs="Times New Roman"/>
          <w:sz w:val="20"/>
          <w:szCs w:val="20"/>
        </w:rPr>
        <w:t xml:space="preserve"> (citing </w:t>
      </w:r>
      <w:r w:rsidRPr="00617A78">
        <w:rPr>
          <w:rFonts w:ascii="Times New Roman" w:hAnsi="Times New Roman" w:cs="Times New Roman"/>
          <w:i/>
          <w:sz w:val="20"/>
          <w:szCs w:val="20"/>
        </w:rPr>
        <w:t>Hall Street</w:t>
      </w:r>
      <w:r w:rsidRPr="00617A78">
        <w:rPr>
          <w:rFonts w:ascii="Times New Roman" w:hAnsi="Times New Roman" w:cs="Times New Roman"/>
          <w:sz w:val="20"/>
          <w:szCs w:val="20"/>
        </w:rPr>
        <w:t xml:space="preserve">, 552 U.S. at 586 (“the text compels a reading of the §§ 10 and 11 categories as exclusive”); </w:t>
      </w:r>
      <w:r w:rsidRPr="00617A78">
        <w:rPr>
          <w:rFonts w:ascii="Times New Roman" w:hAnsi="Times New Roman" w:cs="Times New Roman"/>
          <w:i/>
          <w:sz w:val="20"/>
          <w:szCs w:val="20"/>
        </w:rPr>
        <w:t>id</w:t>
      </w:r>
      <w:r w:rsidRPr="00617A78">
        <w:rPr>
          <w:rFonts w:ascii="Times New Roman" w:hAnsi="Times New Roman" w:cs="Times New Roman"/>
          <w:sz w:val="20"/>
          <w:szCs w:val="20"/>
        </w:rPr>
        <w:t xml:space="preserve">. at 589 (“the statutory text gives us no business to expand the statutory grounds”); </w:t>
      </w:r>
      <w:r w:rsidRPr="00617A78">
        <w:rPr>
          <w:rFonts w:ascii="Times New Roman" w:hAnsi="Times New Roman" w:cs="Times New Roman"/>
          <w:i/>
          <w:sz w:val="20"/>
          <w:szCs w:val="20"/>
        </w:rPr>
        <w:t>id</w:t>
      </w:r>
      <w:r w:rsidRPr="00617A78">
        <w:rPr>
          <w:rFonts w:ascii="Times New Roman" w:hAnsi="Times New Roman" w:cs="Times New Roman"/>
          <w:sz w:val="20"/>
          <w:szCs w:val="20"/>
        </w:rPr>
        <w:t>. at 590 (“§§ 10 and 11 provide exclusive regimes for the review provided by the statute”)).</w:t>
      </w:r>
    </w:p>
  </w:footnote>
  <w:footnote w:id="95">
    <w:p w14:paraId="21EDC638" w14:textId="549B2292" w:rsidR="00AD3492" w:rsidRPr="00617A78" w:rsidRDefault="00AD3492" w:rsidP="007F5B32">
      <w:pPr>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proofErr w:type="spellStart"/>
      <w:proofErr w:type="gramStart"/>
      <w:r w:rsidRPr="00617A78">
        <w:rPr>
          <w:rFonts w:ascii="Times New Roman" w:hAnsi="Times New Roman" w:cs="Times New Roman"/>
          <w:sz w:val="20"/>
          <w:szCs w:val="20"/>
        </w:rPr>
        <w:t>Leasure</w:t>
      </w:r>
      <w:proofErr w:type="spellEnd"/>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_Ref355711964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80</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 xml:space="preserve">, at 89; </w:t>
      </w:r>
      <w:r w:rsidRPr="00617A78">
        <w:rPr>
          <w:rFonts w:ascii="Times New Roman" w:hAnsi="Times New Roman" w:cs="Times New Roman"/>
          <w:i/>
          <w:iCs/>
          <w:sz w:val="20"/>
          <w:szCs w:val="20"/>
        </w:rPr>
        <w:t>Campbell's Foliage, Inc. v. Fed.</w:t>
      </w:r>
      <w:proofErr w:type="gramEnd"/>
      <w:r w:rsidRPr="00617A78">
        <w:rPr>
          <w:rFonts w:ascii="Times New Roman" w:hAnsi="Times New Roman" w:cs="Times New Roman"/>
          <w:i/>
          <w:iCs/>
          <w:sz w:val="20"/>
          <w:szCs w:val="20"/>
        </w:rPr>
        <w:t xml:space="preserve"> Crop Ins. Corp.</w:t>
      </w:r>
      <w:r w:rsidRPr="00617A78">
        <w:rPr>
          <w:rFonts w:ascii="Times New Roman" w:hAnsi="Times New Roman" w:cs="Times New Roman"/>
          <w:sz w:val="20"/>
          <w:szCs w:val="20"/>
        </w:rPr>
        <w:t xml:space="preserve">, 562 F. </w:t>
      </w:r>
      <w:proofErr w:type="spellStart"/>
      <w:r w:rsidRPr="00617A78">
        <w:rPr>
          <w:rFonts w:ascii="Times New Roman" w:hAnsi="Times New Roman" w:cs="Times New Roman"/>
          <w:sz w:val="20"/>
          <w:szCs w:val="20"/>
        </w:rPr>
        <w:t>App'x</w:t>
      </w:r>
      <w:proofErr w:type="spellEnd"/>
      <w:r w:rsidRPr="00617A78">
        <w:rPr>
          <w:rFonts w:ascii="Times New Roman" w:hAnsi="Times New Roman" w:cs="Times New Roman"/>
          <w:sz w:val="20"/>
          <w:szCs w:val="20"/>
        </w:rPr>
        <w:t xml:space="preserve"> 828 (11th Cir. 2014), </w:t>
      </w:r>
      <w:r w:rsidRPr="00617A78">
        <w:rPr>
          <w:rFonts w:ascii="Times New Roman" w:hAnsi="Times New Roman" w:cs="Times New Roman"/>
          <w:i/>
          <w:sz w:val="20"/>
          <w:szCs w:val="20"/>
        </w:rPr>
        <w:t>cert. denied</w:t>
      </w:r>
      <w:r w:rsidRPr="00617A78">
        <w:rPr>
          <w:rFonts w:ascii="Times New Roman" w:hAnsi="Times New Roman" w:cs="Times New Roman"/>
          <w:sz w:val="20"/>
          <w:szCs w:val="20"/>
        </w:rPr>
        <w:t>, __ U.S. __, 135 S. Ct. 145 (2014).</w:t>
      </w:r>
    </w:p>
  </w:footnote>
  <w:footnote w:id="96">
    <w:p w14:paraId="39DA170E" w14:textId="48DFD470" w:rsidR="00AD3492" w:rsidRPr="00617A78" w:rsidRDefault="00AD3492" w:rsidP="001C65DD">
      <w:pPr>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Jack </w:t>
      </w:r>
      <w:proofErr w:type="spellStart"/>
      <w:r w:rsidRPr="00617A78">
        <w:rPr>
          <w:rFonts w:ascii="Times New Roman" w:hAnsi="Times New Roman" w:cs="Times New Roman"/>
          <w:sz w:val="20"/>
          <w:szCs w:val="20"/>
        </w:rPr>
        <w:t>Rephan</w:t>
      </w:r>
      <w:proofErr w:type="spellEnd"/>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Is Manifest Disregard of the Law a Ground for Vacating Arbitration Awards</w:t>
      </w:r>
      <w:r w:rsidRPr="00617A78">
        <w:rPr>
          <w:rFonts w:ascii="Times New Roman" w:hAnsi="Times New Roman" w:cs="Times New Roman"/>
          <w:sz w:val="20"/>
          <w:szCs w:val="20"/>
        </w:rPr>
        <w:t xml:space="preserve">, </w:t>
      </w:r>
      <w:r w:rsidRPr="00617A78">
        <w:rPr>
          <w:rFonts w:ascii="Times New Roman" w:hAnsi="Times New Roman" w:cs="Times New Roman"/>
          <w:smallCaps/>
          <w:sz w:val="20"/>
          <w:szCs w:val="20"/>
        </w:rPr>
        <w:t xml:space="preserve">Pender &amp; Coward </w:t>
      </w:r>
      <w:r w:rsidRPr="00617A78">
        <w:rPr>
          <w:rFonts w:ascii="Times New Roman" w:hAnsi="Times New Roman" w:cs="Times New Roman"/>
          <w:sz w:val="20"/>
          <w:szCs w:val="20"/>
        </w:rPr>
        <w:t xml:space="preserve">(March 2, 2016), </w:t>
      </w:r>
      <w:r w:rsidRPr="00617A78">
        <w:rPr>
          <w:rFonts w:ascii="Times New Roman" w:hAnsi="Times New Roman" w:cs="Times New Roman"/>
          <w:i/>
          <w:sz w:val="20"/>
          <w:szCs w:val="20"/>
        </w:rPr>
        <w:t>available at</w:t>
      </w:r>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 xml:space="preserve"> </w:t>
      </w:r>
      <w:r w:rsidRPr="00617A78">
        <w:rPr>
          <w:rFonts w:ascii="Times New Roman" w:hAnsi="Times New Roman" w:cs="Times New Roman"/>
          <w:sz w:val="20"/>
          <w:szCs w:val="20"/>
        </w:rPr>
        <w:t>https://www.pendercoward.com/resources/blog-opinions-and-observations/is-manifest-disregard-of-the-law-still-a-ground-for-vacating-arbitration-awards-march-2016/.</w:t>
      </w:r>
    </w:p>
  </w:footnote>
  <w:footnote w:id="97">
    <w:p w14:paraId="7EB33D36" w14:textId="7A5264E7" w:rsidR="00AD3492" w:rsidRPr="00617A78" w:rsidRDefault="00AD3492" w:rsidP="007C587F">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John &amp; Ari </w:t>
      </w:r>
      <w:proofErr w:type="spellStart"/>
      <w:r w:rsidRPr="00617A78">
        <w:rPr>
          <w:rFonts w:ascii="Times New Roman" w:hAnsi="Times New Roman" w:cs="Times New Roman"/>
          <w:sz w:val="20"/>
          <w:szCs w:val="20"/>
        </w:rPr>
        <w:t>Diaconis</w:t>
      </w:r>
      <w:proofErr w:type="spellEnd"/>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_Ref355710474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23</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 xml:space="preserve">, at 19. </w:t>
      </w:r>
    </w:p>
  </w:footnote>
  <w:footnote w:id="98">
    <w:p w14:paraId="72C2C716" w14:textId="1EB7C899" w:rsidR="00AD3492" w:rsidRPr="00617A78" w:rsidRDefault="00AD3492" w:rsidP="007F5B32">
      <w:pPr>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r w:rsidRPr="00617A78">
        <w:rPr>
          <w:rFonts w:ascii="Times New Roman" w:hAnsi="Times New Roman" w:cs="Times New Roman"/>
          <w:i/>
          <w:iCs/>
          <w:sz w:val="20"/>
          <w:szCs w:val="20"/>
        </w:rPr>
        <w:t>Coffee Beanery, Ltd. v. WW, L.L.C.</w:t>
      </w:r>
      <w:r w:rsidRPr="00617A78">
        <w:rPr>
          <w:rFonts w:ascii="Times New Roman" w:hAnsi="Times New Roman" w:cs="Times New Roman"/>
          <w:sz w:val="20"/>
          <w:szCs w:val="20"/>
        </w:rPr>
        <w:t xml:space="preserve">, 300 F. </w:t>
      </w:r>
      <w:proofErr w:type="spellStart"/>
      <w:r w:rsidRPr="00617A78">
        <w:rPr>
          <w:rFonts w:ascii="Times New Roman" w:hAnsi="Times New Roman" w:cs="Times New Roman"/>
          <w:sz w:val="20"/>
          <w:szCs w:val="20"/>
        </w:rPr>
        <w:t>App'x</w:t>
      </w:r>
      <w:proofErr w:type="spellEnd"/>
      <w:r w:rsidRPr="00617A78">
        <w:rPr>
          <w:rFonts w:ascii="Times New Roman" w:hAnsi="Times New Roman" w:cs="Times New Roman"/>
          <w:sz w:val="20"/>
          <w:szCs w:val="20"/>
        </w:rPr>
        <w:t xml:space="preserve"> 415 (6th Cir. 2008), </w:t>
      </w:r>
      <w:r w:rsidRPr="00617A78">
        <w:rPr>
          <w:rFonts w:ascii="Times New Roman" w:hAnsi="Times New Roman" w:cs="Times New Roman"/>
          <w:i/>
          <w:sz w:val="20"/>
          <w:szCs w:val="20"/>
        </w:rPr>
        <w:t>cert. denied</w:t>
      </w:r>
      <w:r w:rsidRPr="00617A78">
        <w:rPr>
          <w:rFonts w:ascii="Times New Roman" w:hAnsi="Times New Roman" w:cs="Times New Roman"/>
          <w:sz w:val="20"/>
          <w:szCs w:val="20"/>
        </w:rPr>
        <w:t>, 558 U.S. 819 (2009).</w:t>
      </w:r>
    </w:p>
  </w:footnote>
  <w:footnote w:id="99">
    <w:p w14:paraId="3D404B9C" w14:textId="2BA45422" w:rsidR="00AD3492" w:rsidRPr="00617A78" w:rsidRDefault="00AD3492" w:rsidP="007C587F">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proofErr w:type="spellStart"/>
      <w:r w:rsidRPr="00617A78">
        <w:rPr>
          <w:rFonts w:ascii="Times New Roman" w:hAnsi="Times New Roman" w:cs="Times New Roman"/>
          <w:sz w:val="20"/>
          <w:szCs w:val="20"/>
        </w:rPr>
        <w:t>Rephan</w:t>
      </w:r>
      <w:proofErr w:type="spellEnd"/>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_Ref355713371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96</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w:t>
      </w:r>
    </w:p>
  </w:footnote>
  <w:footnote w:id="100">
    <w:p w14:paraId="66A17769" w14:textId="732483D6" w:rsidR="00AD3492" w:rsidRPr="00617A78" w:rsidRDefault="00AD3492" w:rsidP="007C587F">
      <w:pPr>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proofErr w:type="gramStart"/>
      <w:r w:rsidRPr="00617A78">
        <w:rPr>
          <w:rFonts w:ascii="Times New Roman" w:hAnsi="Times New Roman" w:cs="Times New Roman"/>
          <w:i/>
          <w:iCs/>
          <w:sz w:val="20"/>
          <w:szCs w:val="20"/>
        </w:rPr>
        <w:t>Coffee Beanery</w:t>
      </w:r>
      <w:r w:rsidRPr="00617A78">
        <w:rPr>
          <w:rFonts w:ascii="Times New Roman" w:hAnsi="Times New Roman" w:cs="Times New Roman"/>
          <w:iCs/>
          <w:sz w:val="20"/>
          <w:szCs w:val="20"/>
        </w:rPr>
        <w:t>,</w:t>
      </w:r>
      <w:r w:rsidRPr="00617A78">
        <w:rPr>
          <w:rFonts w:ascii="Times New Roman" w:hAnsi="Times New Roman" w:cs="Times New Roman"/>
          <w:i/>
          <w:iCs/>
          <w:sz w:val="20"/>
          <w:szCs w:val="20"/>
        </w:rPr>
        <w:t xml:space="preserve"> </w:t>
      </w:r>
      <w:r w:rsidRPr="00617A78">
        <w:rPr>
          <w:rFonts w:ascii="Times New Roman" w:hAnsi="Times New Roman" w:cs="Times New Roman"/>
          <w:sz w:val="20"/>
          <w:szCs w:val="20"/>
        </w:rPr>
        <w:t xml:space="preserve">300 F. </w:t>
      </w:r>
      <w:proofErr w:type="spellStart"/>
      <w:r w:rsidRPr="00617A78">
        <w:rPr>
          <w:rFonts w:ascii="Times New Roman" w:hAnsi="Times New Roman" w:cs="Times New Roman"/>
          <w:sz w:val="20"/>
          <w:szCs w:val="20"/>
        </w:rPr>
        <w:t>App'x</w:t>
      </w:r>
      <w:proofErr w:type="spellEnd"/>
      <w:r w:rsidRPr="00617A78">
        <w:rPr>
          <w:rFonts w:ascii="Times New Roman" w:hAnsi="Times New Roman" w:cs="Times New Roman"/>
          <w:sz w:val="20"/>
          <w:szCs w:val="20"/>
        </w:rPr>
        <w:t xml:space="preserve"> at 418.</w:t>
      </w:r>
      <w:proofErr w:type="gramEnd"/>
      <w:r w:rsidRPr="00617A78">
        <w:rPr>
          <w:rFonts w:ascii="Times New Roman" w:hAnsi="Times New Roman" w:cs="Times New Roman"/>
          <w:sz w:val="20"/>
          <w:szCs w:val="20"/>
        </w:rPr>
        <w:t xml:space="preserve"> </w:t>
      </w:r>
    </w:p>
  </w:footnote>
  <w:footnote w:id="101">
    <w:p w14:paraId="09F01B84" w14:textId="3F91D641" w:rsidR="00AD3492" w:rsidRPr="00617A78" w:rsidRDefault="00AD3492" w:rsidP="00881E13">
      <w:pPr>
        <w:widowControl w:val="0"/>
        <w:autoSpaceDE w:val="0"/>
        <w:autoSpaceDN w:val="0"/>
        <w:adjustRightInd w:val="0"/>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Id</w:t>
      </w:r>
      <w:r w:rsidRPr="00617A78">
        <w:rPr>
          <w:rFonts w:ascii="Times New Roman" w:hAnsi="Times New Roman" w:cs="Times New Roman"/>
          <w:sz w:val="20"/>
          <w:szCs w:val="20"/>
        </w:rPr>
        <w:t xml:space="preserve">. at 418 (citing </w:t>
      </w:r>
      <w:proofErr w:type="spellStart"/>
      <w:r w:rsidRPr="00617A78">
        <w:rPr>
          <w:rFonts w:ascii="Times New Roman" w:hAnsi="Times New Roman" w:cs="Times New Roman"/>
          <w:i/>
          <w:iCs/>
          <w:sz w:val="20"/>
          <w:szCs w:val="20"/>
        </w:rPr>
        <w:t>Wilko</w:t>
      </w:r>
      <w:proofErr w:type="spellEnd"/>
      <w:r w:rsidRPr="00617A78">
        <w:rPr>
          <w:rFonts w:ascii="Times New Roman" w:hAnsi="Times New Roman" w:cs="Times New Roman"/>
          <w:i/>
          <w:iCs/>
          <w:sz w:val="20"/>
          <w:szCs w:val="20"/>
        </w:rPr>
        <w:t xml:space="preserve"> v. Swan,</w:t>
      </w:r>
      <w:r w:rsidRPr="00617A78">
        <w:rPr>
          <w:rFonts w:ascii="Times New Roman" w:hAnsi="Times New Roman" w:cs="Times New Roman"/>
          <w:sz w:val="20"/>
          <w:szCs w:val="20"/>
        </w:rPr>
        <w:t xml:space="preserve"> 346 U.S. 427, 436 (1953) (overruled on other grounds by </w:t>
      </w:r>
      <w:r w:rsidRPr="00617A78">
        <w:rPr>
          <w:rFonts w:ascii="Times New Roman" w:hAnsi="Times New Roman" w:cs="Times New Roman"/>
          <w:i/>
          <w:iCs/>
          <w:sz w:val="20"/>
          <w:szCs w:val="20"/>
        </w:rPr>
        <w:t xml:space="preserve">Rodriguez de </w:t>
      </w:r>
      <w:proofErr w:type="spellStart"/>
      <w:r w:rsidRPr="00617A78">
        <w:rPr>
          <w:rFonts w:ascii="Times New Roman" w:hAnsi="Times New Roman" w:cs="Times New Roman"/>
          <w:i/>
          <w:iCs/>
          <w:sz w:val="20"/>
          <w:szCs w:val="20"/>
        </w:rPr>
        <w:t>Quijas</w:t>
      </w:r>
      <w:proofErr w:type="spellEnd"/>
      <w:r w:rsidRPr="00617A78">
        <w:rPr>
          <w:rFonts w:ascii="Times New Roman" w:hAnsi="Times New Roman" w:cs="Times New Roman"/>
          <w:i/>
          <w:iCs/>
          <w:sz w:val="20"/>
          <w:szCs w:val="20"/>
        </w:rPr>
        <w:t xml:space="preserve"> v. Shearson/Am. Express, Inc.,</w:t>
      </w:r>
      <w:r w:rsidRPr="00617A78">
        <w:rPr>
          <w:rFonts w:ascii="Times New Roman" w:hAnsi="Times New Roman" w:cs="Times New Roman"/>
          <w:sz w:val="20"/>
          <w:szCs w:val="20"/>
        </w:rPr>
        <w:t xml:space="preserve"> 490 U.S. 477, 109 S. Ct. 1917, 104 L. Ed. 2d 526 (1989)).</w:t>
      </w:r>
    </w:p>
  </w:footnote>
  <w:footnote w:id="102">
    <w:p w14:paraId="495C16CA" w14:textId="5E8A1A6C" w:rsidR="00AD3492" w:rsidRPr="00617A78" w:rsidRDefault="00AD3492" w:rsidP="007C587F">
      <w:pPr>
        <w:jc w:val="both"/>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proofErr w:type="gramStart"/>
      <w:r w:rsidRPr="00617A78">
        <w:rPr>
          <w:rFonts w:ascii="Times New Roman" w:hAnsi="Times New Roman" w:cs="Times New Roman"/>
          <w:i/>
          <w:iCs/>
          <w:sz w:val="20"/>
          <w:szCs w:val="20"/>
        </w:rPr>
        <w:t>Coffee Beanery</w:t>
      </w:r>
      <w:r w:rsidRPr="00617A78">
        <w:rPr>
          <w:rFonts w:ascii="Times New Roman" w:hAnsi="Times New Roman" w:cs="Times New Roman"/>
          <w:iCs/>
          <w:sz w:val="20"/>
          <w:szCs w:val="20"/>
        </w:rPr>
        <w:t>,</w:t>
      </w:r>
      <w:r w:rsidRPr="00617A78">
        <w:rPr>
          <w:rFonts w:ascii="Times New Roman" w:hAnsi="Times New Roman" w:cs="Times New Roman"/>
          <w:i/>
          <w:iCs/>
          <w:sz w:val="20"/>
          <w:szCs w:val="20"/>
        </w:rPr>
        <w:t xml:space="preserve"> </w:t>
      </w:r>
      <w:r w:rsidRPr="00617A78">
        <w:rPr>
          <w:rFonts w:ascii="Times New Roman" w:hAnsi="Times New Roman" w:cs="Times New Roman"/>
          <w:sz w:val="20"/>
          <w:szCs w:val="20"/>
        </w:rPr>
        <w:t xml:space="preserve">300 F. </w:t>
      </w:r>
      <w:proofErr w:type="spellStart"/>
      <w:r w:rsidRPr="00617A78">
        <w:rPr>
          <w:rFonts w:ascii="Times New Roman" w:hAnsi="Times New Roman" w:cs="Times New Roman"/>
          <w:sz w:val="20"/>
          <w:szCs w:val="20"/>
        </w:rPr>
        <w:t>App'x</w:t>
      </w:r>
      <w:proofErr w:type="spellEnd"/>
      <w:r w:rsidRPr="00617A78">
        <w:rPr>
          <w:rFonts w:ascii="Times New Roman" w:hAnsi="Times New Roman" w:cs="Times New Roman"/>
          <w:sz w:val="20"/>
          <w:szCs w:val="20"/>
        </w:rPr>
        <w:t xml:space="preserve"> at 418.</w:t>
      </w:r>
      <w:proofErr w:type="gramEnd"/>
      <w:r w:rsidRPr="00617A78">
        <w:rPr>
          <w:rFonts w:ascii="Times New Roman" w:hAnsi="Times New Roman" w:cs="Times New Roman"/>
          <w:sz w:val="20"/>
          <w:szCs w:val="20"/>
        </w:rPr>
        <w:t xml:space="preserve"> </w:t>
      </w:r>
    </w:p>
  </w:footnote>
  <w:footnote w:id="103">
    <w:p w14:paraId="6CE32D7B" w14:textId="57BC3A99" w:rsidR="00AD3492" w:rsidRPr="00617A78" w:rsidRDefault="00AD3492" w:rsidP="007C587F">
      <w:pPr>
        <w:jc w:val="both"/>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John and Ari </w:t>
      </w:r>
      <w:proofErr w:type="spellStart"/>
      <w:r w:rsidRPr="00617A78">
        <w:rPr>
          <w:rFonts w:ascii="Times New Roman" w:hAnsi="Times New Roman" w:cs="Times New Roman"/>
          <w:sz w:val="20"/>
          <w:szCs w:val="20"/>
        </w:rPr>
        <w:t>Diaconis</w:t>
      </w:r>
      <w:proofErr w:type="spellEnd"/>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_Ref355710474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23</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 xml:space="preserve">, at 19. According to John and Ari </w:t>
      </w:r>
      <w:proofErr w:type="spellStart"/>
      <w:r w:rsidRPr="00617A78">
        <w:rPr>
          <w:rFonts w:ascii="Times New Roman" w:hAnsi="Times New Roman" w:cs="Times New Roman"/>
          <w:sz w:val="20"/>
          <w:szCs w:val="20"/>
        </w:rPr>
        <w:t>Diconis</w:t>
      </w:r>
      <w:proofErr w:type="spellEnd"/>
      <w:r w:rsidRPr="00617A78">
        <w:rPr>
          <w:rFonts w:ascii="Times New Roman" w:hAnsi="Times New Roman" w:cs="Times New Roman"/>
          <w:sz w:val="20"/>
          <w:szCs w:val="20"/>
        </w:rPr>
        <w:t xml:space="preserve">, the court supported this position by arguing that the Supreme Court’s opinion in </w:t>
      </w:r>
      <w:r w:rsidRPr="00617A78">
        <w:rPr>
          <w:rFonts w:ascii="Times New Roman" w:hAnsi="Times New Roman" w:cs="Times New Roman"/>
          <w:i/>
          <w:sz w:val="20"/>
          <w:szCs w:val="20"/>
        </w:rPr>
        <w:t xml:space="preserve">Hall Street </w:t>
      </w:r>
      <w:r w:rsidRPr="00617A78">
        <w:rPr>
          <w:rFonts w:ascii="Times New Roman" w:hAnsi="Times New Roman" w:cs="Times New Roman"/>
          <w:sz w:val="20"/>
          <w:szCs w:val="20"/>
        </w:rPr>
        <w:t xml:space="preserve">is open to multiple interpretations, and therefore provided insufficient means for overruling “a doctrine which prior to 2009 was ‘universally’ recognized by the Courts of Appeals.” </w:t>
      </w:r>
      <w:r w:rsidRPr="00617A78">
        <w:rPr>
          <w:rFonts w:ascii="Times New Roman" w:hAnsi="Times New Roman" w:cs="Times New Roman"/>
          <w:i/>
          <w:sz w:val="20"/>
          <w:szCs w:val="20"/>
        </w:rPr>
        <w:t xml:space="preserve">Id. </w:t>
      </w:r>
      <w:r w:rsidRPr="00617A78">
        <w:rPr>
          <w:rFonts w:ascii="Times New Roman" w:hAnsi="Times New Roman" w:cs="Times New Roman"/>
          <w:sz w:val="20"/>
          <w:szCs w:val="20"/>
        </w:rPr>
        <w:t xml:space="preserve"> </w:t>
      </w:r>
    </w:p>
  </w:footnote>
  <w:footnote w:id="104">
    <w:p w14:paraId="7C743CC2" w14:textId="0E870589" w:rsidR="00AD3492" w:rsidRPr="00451EE8" w:rsidRDefault="00AD3492">
      <w:pPr>
        <w:pStyle w:val="FootnoteText"/>
        <w:rPr>
          <w:rFonts w:ascii="Times New Roman" w:hAnsi="Times New Roman" w:cs="Times New Roman"/>
          <w:sz w:val="20"/>
          <w:szCs w:val="20"/>
        </w:rPr>
      </w:pPr>
      <w:r w:rsidRPr="00451EE8">
        <w:rPr>
          <w:rStyle w:val="FootnoteReference"/>
          <w:rFonts w:ascii="Times New Roman" w:hAnsi="Times New Roman" w:cs="Times New Roman"/>
          <w:sz w:val="20"/>
          <w:szCs w:val="20"/>
        </w:rPr>
        <w:footnoteRef/>
      </w:r>
      <w:r w:rsidRPr="00451EE8">
        <w:rPr>
          <w:rFonts w:ascii="Times New Roman" w:hAnsi="Times New Roman" w:cs="Times New Roman"/>
          <w:sz w:val="20"/>
          <w:szCs w:val="20"/>
        </w:rPr>
        <w:t xml:space="preserve"> </w:t>
      </w:r>
      <w:proofErr w:type="spellStart"/>
      <w:r w:rsidRPr="00451EE8">
        <w:rPr>
          <w:rFonts w:ascii="Times New Roman" w:hAnsi="Times New Roman" w:cs="Times New Roman"/>
          <w:sz w:val="20"/>
          <w:szCs w:val="20"/>
        </w:rPr>
        <w:t>Rephan</w:t>
      </w:r>
      <w:proofErr w:type="spellEnd"/>
      <w:r w:rsidRPr="00451EE8">
        <w:rPr>
          <w:rFonts w:ascii="Times New Roman" w:hAnsi="Times New Roman" w:cs="Times New Roman"/>
          <w:sz w:val="20"/>
          <w:szCs w:val="20"/>
        </w:rPr>
        <w:t xml:space="preserve">, </w:t>
      </w:r>
      <w:r w:rsidRPr="00451EE8">
        <w:rPr>
          <w:rFonts w:ascii="Times New Roman" w:hAnsi="Times New Roman" w:cs="Times New Roman"/>
          <w:i/>
          <w:sz w:val="20"/>
          <w:szCs w:val="20"/>
        </w:rPr>
        <w:t xml:space="preserve">supra </w:t>
      </w:r>
      <w:r w:rsidRPr="00451EE8">
        <w:rPr>
          <w:rFonts w:ascii="Times New Roman" w:hAnsi="Times New Roman" w:cs="Times New Roman"/>
          <w:sz w:val="20"/>
          <w:szCs w:val="20"/>
        </w:rPr>
        <w:t>note</w:t>
      </w:r>
      <w:r>
        <w:rPr>
          <w:rFonts w:ascii="Times New Roman" w:hAnsi="Times New Roman" w:cs="Times New Roman"/>
          <w:sz w:val="20"/>
          <w:szCs w:val="20"/>
        </w:rPr>
        <w:t xml:space="preserv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NOTEREF _Ref355713371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8A45C8">
        <w:rPr>
          <w:rFonts w:ascii="Times New Roman" w:hAnsi="Times New Roman" w:cs="Times New Roman"/>
          <w:sz w:val="20"/>
          <w:szCs w:val="20"/>
        </w:rPr>
        <w:t>96</w:t>
      </w:r>
      <w:r>
        <w:rPr>
          <w:rFonts w:ascii="Times New Roman" w:hAnsi="Times New Roman" w:cs="Times New Roman"/>
          <w:sz w:val="20"/>
          <w:szCs w:val="20"/>
        </w:rPr>
        <w:fldChar w:fldCharType="end"/>
      </w:r>
      <w:r>
        <w:rPr>
          <w:rFonts w:ascii="Times New Roman" w:hAnsi="Times New Roman" w:cs="Times New Roman"/>
          <w:sz w:val="20"/>
          <w:szCs w:val="20"/>
        </w:rPr>
        <w:t>.</w:t>
      </w:r>
    </w:p>
  </w:footnote>
  <w:footnote w:id="105">
    <w:p w14:paraId="72B8D738" w14:textId="5DD71005" w:rsidR="00AD3492" w:rsidRPr="00617A78" w:rsidRDefault="00AD3492">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Some commentators assert that the Fourth Circuit falls within this group; however, as discussed </w:t>
      </w:r>
      <w:r w:rsidRPr="00617A78">
        <w:rPr>
          <w:rFonts w:ascii="Times New Roman" w:hAnsi="Times New Roman" w:cs="Times New Roman"/>
          <w:i/>
          <w:sz w:val="20"/>
          <w:szCs w:val="20"/>
        </w:rPr>
        <w:t xml:space="preserve">infra </w:t>
      </w:r>
      <w:r w:rsidRPr="00617A78">
        <w:rPr>
          <w:rFonts w:ascii="Times New Roman" w:hAnsi="Times New Roman" w:cs="Times New Roman"/>
          <w:sz w:val="20"/>
          <w:szCs w:val="20"/>
        </w:rPr>
        <w:t xml:space="preserve">Part </w:t>
      </w:r>
      <w:proofErr w:type="gramStart"/>
      <w:r w:rsidRPr="00617A78">
        <w:rPr>
          <w:rFonts w:ascii="Times New Roman" w:hAnsi="Times New Roman" w:cs="Times New Roman"/>
          <w:sz w:val="20"/>
          <w:szCs w:val="20"/>
        </w:rPr>
        <w:t>IV(</w:t>
      </w:r>
      <w:proofErr w:type="gramEnd"/>
      <w:r w:rsidRPr="00617A78">
        <w:rPr>
          <w:rFonts w:ascii="Times New Roman" w:hAnsi="Times New Roman" w:cs="Times New Roman"/>
          <w:sz w:val="20"/>
          <w:szCs w:val="20"/>
        </w:rPr>
        <w:t xml:space="preserve">d)(i), the Fourth Circuit does not appear to have definitively adopted the position that the doctrine of manifest disregard survived </w:t>
      </w:r>
      <w:r w:rsidRPr="00617A78">
        <w:rPr>
          <w:rFonts w:ascii="Times New Roman" w:hAnsi="Times New Roman" w:cs="Times New Roman"/>
          <w:i/>
          <w:sz w:val="20"/>
          <w:szCs w:val="20"/>
        </w:rPr>
        <w:t xml:space="preserve">Hall Street </w:t>
      </w:r>
      <w:r w:rsidRPr="00617A78">
        <w:rPr>
          <w:rFonts w:ascii="Times New Roman" w:hAnsi="Times New Roman" w:cs="Times New Roman"/>
          <w:sz w:val="20"/>
          <w:szCs w:val="20"/>
        </w:rPr>
        <w:t xml:space="preserve">as a judicial gloss/shorthand or as independent, non-statutory, ground for </w:t>
      </w:r>
      <w:proofErr w:type="spellStart"/>
      <w:r w:rsidRPr="00617A78">
        <w:rPr>
          <w:rFonts w:ascii="Times New Roman" w:hAnsi="Times New Roman" w:cs="Times New Roman"/>
          <w:sz w:val="20"/>
          <w:szCs w:val="20"/>
        </w:rPr>
        <w:t>vacatur</w:t>
      </w:r>
      <w:proofErr w:type="spellEnd"/>
      <w:r w:rsidRPr="00617A78">
        <w:rPr>
          <w:rFonts w:ascii="Times New Roman" w:hAnsi="Times New Roman" w:cs="Times New Roman"/>
          <w:sz w:val="20"/>
          <w:szCs w:val="20"/>
        </w:rPr>
        <w:t xml:space="preserve">. </w:t>
      </w:r>
    </w:p>
  </w:footnote>
  <w:footnote w:id="106">
    <w:p w14:paraId="2CCEBC12" w14:textId="5EE44519" w:rsidR="00AD3492" w:rsidRPr="00617A78" w:rsidRDefault="00AD3492">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r w:rsidRPr="00617A78">
        <w:rPr>
          <w:rFonts w:ascii="Times New Roman" w:hAnsi="Times New Roman" w:cs="Times New Roman"/>
          <w:i/>
          <w:iCs/>
          <w:sz w:val="20"/>
          <w:szCs w:val="20"/>
        </w:rPr>
        <w:t xml:space="preserve">Stolt-Nielsen SA v </w:t>
      </w:r>
      <w:proofErr w:type="spellStart"/>
      <w:r w:rsidRPr="00617A78">
        <w:rPr>
          <w:rFonts w:ascii="Times New Roman" w:hAnsi="Times New Roman" w:cs="Times New Roman"/>
          <w:i/>
          <w:iCs/>
          <w:sz w:val="20"/>
          <w:szCs w:val="20"/>
        </w:rPr>
        <w:t>AnimalFeeds</w:t>
      </w:r>
      <w:proofErr w:type="spellEnd"/>
      <w:r w:rsidRPr="00617A78">
        <w:rPr>
          <w:rFonts w:ascii="Times New Roman" w:hAnsi="Times New Roman" w:cs="Times New Roman"/>
          <w:i/>
          <w:iCs/>
          <w:sz w:val="20"/>
          <w:szCs w:val="20"/>
        </w:rPr>
        <w:t xml:space="preserve"> Int'l Corp.</w:t>
      </w:r>
      <w:r w:rsidRPr="00617A78">
        <w:rPr>
          <w:rFonts w:ascii="Times New Roman" w:hAnsi="Times New Roman" w:cs="Times New Roman"/>
          <w:sz w:val="20"/>
          <w:szCs w:val="20"/>
        </w:rPr>
        <w:t>, 548 F3d 85, 95 (2d Cir. 2008).</w:t>
      </w:r>
    </w:p>
  </w:footnote>
  <w:footnote w:id="107">
    <w:p w14:paraId="19A065DD" w14:textId="25F1A3BA" w:rsidR="00AD3492" w:rsidRPr="00617A78" w:rsidRDefault="00AD3492" w:rsidP="005F1430">
      <w:pPr>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Jack Jarrett, </w:t>
      </w:r>
      <w:r w:rsidRPr="00617A78">
        <w:rPr>
          <w:rFonts w:ascii="Times New Roman" w:hAnsi="Times New Roman" w:cs="Times New Roman"/>
          <w:i/>
          <w:sz w:val="20"/>
          <w:szCs w:val="20"/>
        </w:rPr>
        <w:t xml:space="preserve">What’s in a Name? Why </w:t>
      </w:r>
      <w:proofErr w:type="spellStart"/>
      <w:r w:rsidRPr="00617A78">
        <w:rPr>
          <w:rFonts w:ascii="Times New Roman" w:hAnsi="Times New Roman" w:cs="Times New Roman"/>
          <w:i/>
          <w:sz w:val="20"/>
          <w:szCs w:val="20"/>
        </w:rPr>
        <w:t>Judically</w:t>
      </w:r>
      <w:proofErr w:type="spellEnd"/>
      <w:r w:rsidRPr="00617A78">
        <w:rPr>
          <w:rFonts w:ascii="Times New Roman" w:hAnsi="Times New Roman" w:cs="Times New Roman"/>
          <w:i/>
          <w:sz w:val="20"/>
          <w:szCs w:val="20"/>
        </w:rPr>
        <w:t xml:space="preserve"> Named Grounds for Vacating Arbitral Awards Should Remain Available In Light of Hall Street</w:t>
      </w:r>
      <w:r w:rsidRPr="00617A78">
        <w:rPr>
          <w:rFonts w:ascii="Times New Roman" w:hAnsi="Times New Roman" w:cs="Times New Roman"/>
          <w:sz w:val="20"/>
          <w:szCs w:val="20"/>
        </w:rPr>
        <w:t xml:space="preserve">, 20 Geo. Mason L. Rev. 909, 922 (2012-2013) (citing </w:t>
      </w:r>
      <w:proofErr w:type="spellStart"/>
      <w:r w:rsidRPr="00617A78">
        <w:rPr>
          <w:rFonts w:ascii="Times New Roman" w:hAnsi="Times New Roman" w:cs="Times New Roman"/>
          <w:i/>
          <w:sz w:val="20"/>
          <w:szCs w:val="20"/>
        </w:rPr>
        <w:t>Duferco</w:t>
      </w:r>
      <w:proofErr w:type="spellEnd"/>
      <w:r w:rsidRPr="00617A78">
        <w:rPr>
          <w:rFonts w:ascii="Times New Roman" w:hAnsi="Times New Roman" w:cs="Times New Roman"/>
          <w:i/>
          <w:sz w:val="20"/>
          <w:szCs w:val="20"/>
        </w:rPr>
        <w:t xml:space="preserve"> Int’l Steel Trading v. T. </w:t>
      </w:r>
      <w:proofErr w:type="spellStart"/>
      <w:r w:rsidRPr="00617A78">
        <w:rPr>
          <w:rFonts w:ascii="Times New Roman" w:hAnsi="Times New Roman" w:cs="Times New Roman"/>
          <w:i/>
          <w:sz w:val="20"/>
          <w:szCs w:val="20"/>
        </w:rPr>
        <w:t>Kalveness</w:t>
      </w:r>
      <w:proofErr w:type="spellEnd"/>
      <w:r w:rsidRPr="00617A78">
        <w:rPr>
          <w:rFonts w:ascii="Times New Roman" w:hAnsi="Times New Roman" w:cs="Times New Roman"/>
          <w:i/>
          <w:sz w:val="20"/>
          <w:szCs w:val="20"/>
        </w:rPr>
        <w:t xml:space="preserve"> Shipping A/S</w:t>
      </w:r>
      <w:r w:rsidRPr="00617A78">
        <w:rPr>
          <w:rFonts w:ascii="Times New Roman" w:hAnsi="Times New Roman" w:cs="Times New Roman"/>
          <w:sz w:val="20"/>
          <w:szCs w:val="20"/>
        </w:rPr>
        <w:t xml:space="preserve">, 333 F.3d 383, 289 (2d Cir. 2003)). </w:t>
      </w:r>
    </w:p>
  </w:footnote>
  <w:footnote w:id="108">
    <w:p w14:paraId="01038A5B" w14:textId="654D00C3" w:rsidR="00AD3492" w:rsidRPr="00617A78" w:rsidRDefault="00AD3492">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r w:rsidRPr="00617A78">
        <w:rPr>
          <w:rFonts w:ascii="Times New Roman" w:hAnsi="Times New Roman" w:cs="Times New Roman"/>
          <w:i/>
          <w:iCs/>
          <w:sz w:val="20"/>
          <w:szCs w:val="20"/>
        </w:rPr>
        <w:t>Stolt-Nielsen</w:t>
      </w:r>
      <w:r w:rsidRPr="00617A78">
        <w:rPr>
          <w:rFonts w:ascii="Times New Roman" w:hAnsi="Times New Roman" w:cs="Times New Roman"/>
          <w:iCs/>
          <w:sz w:val="20"/>
          <w:szCs w:val="20"/>
        </w:rPr>
        <w:t>,</w:t>
      </w:r>
      <w:r w:rsidRPr="00617A78">
        <w:rPr>
          <w:rFonts w:ascii="Times New Roman" w:hAnsi="Times New Roman" w:cs="Times New Roman"/>
          <w:i/>
          <w:iCs/>
          <w:sz w:val="20"/>
          <w:szCs w:val="20"/>
        </w:rPr>
        <w:t xml:space="preserve"> </w:t>
      </w:r>
      <w:proofErr w:type="gramStart"/>
      <w:r w:rsidRPr="00617A78">
        <w:rPr>
          <w:rFonts w:ascii="Times New Roman" w:hAnsi="Times New Roman" w:cs="Times New Roman"/>
          <w:sz w:val="20"/>
          <w:szCs w:val="20"/>
        </w:rPr>
        <w:t>548 F.3d at 94</w:t>
      </w:r>
      <w:proofErr w:type="gramEnd"/>
      <w:r w:rsidRPr="00617A78">
        <w:rPr>
          <w:rFonts w:ascii="Times New Roman" w:hAnsi="Times New Roman" w:cs="Times New Roman"/>
          <w:sz w:val="20"/>
          <w:szCs w:val="20"/>
        </w:rPr>
        <w:t xml:space="preserve">. </w:t>
      </w:r>
    </w:p>
  </w:footnote>
  <w:footnote w:id="109">
    <w:p w14:paraId="4DF16051" w14:textId="0591DFCE" w:rsidR="00AD3492" w:rsidRPr="00617A78" w:rsidRDefault="00AD3492">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proofErr w:type="gramStart"/>
      <w:r w:rsidRPr="00617A78">
        <w:rPr>
          <w:rFonts w:ascii="Times New Roman" w:hAnsi="Times New Roman" w:cs="Times New Roman"/>
          <w:i/>
          <w:iCs/>
          <w:sz w:val="20"/>
          <w:szCs w:val="20"/>
        </w:rPr>
        <w:t xml:space="preserve">Sutherland Global </w:t>
      </w:r>
      <w:proofErr w:type="spellStart"/>
      <w:r w:rsidRPr="00617A78">
        <w:rPr>
          <w:rFonts w:ascii="Times New Roman" w:hAnsi="Times New Roman" w:cs="Times New Roman"/>
          <w:i/>
          <w:iCs/>
          <w:sz w:val="20"/>
          <w:szCs w:val="20"/>
        </w:rPr>
        <w:t>Servs</w:t>
      </w:r>
      <w:proofErr w:type="spellEnd"/>
      <w:r w:rsidRPr="00617A78">
        <w:rPr>
          <w:rFonts w:ascii="Times New Roman" w:hAnsi="Times New Roman" w:cs="Times New Roman"/>
          <w:i/>
          <w:iCs/>
          <w:sz w:val="20"/>
          <w:szCs w:val="20"/>
        </w:rPr>
        <w:t>.</w:t>
      </w:r>
      <w:proofErr w:type="gramEnd"/>
      <w:r w:rsidRPr="00617A78">
        <w:rPr>
          <w:rFonts w:ascii="Times New Roman" w:hAnsi="Times New Roman" w:cs="Times New Roman"/>
          <w:i/>
          <w:iCs/>
          <w:sz w:val="20"/>
          <w:szCs w:val="20"/>
        </w:rPr>
        <w:t xml:space="preserve"> </w:t>
      </w:r>
      <w:proofErr w:type="gramStart"/>
      <w:r w:rsidRPr="00617A78">
        <w:rPr>
          <w:rFonts w:ascii="Times New Roman" w:hAnsi="Times New Roman" w:cs="Times New Roman"/>
          <w:i/>
          <w:iCs/>
          <w:sz w:val="20"/>
          <w:szCs w:val="20"/>
        </w:rPr>
        <w:t>v</w:t>
      </w:r>
      <w:proofErr w:type="gramEnd"/>
      <w:r w:rsidRPr="00617A78">
        <w:rPr>
          <w:rFonts w:ascii="Times New Roman" w:hAnsi="Times New Roman" w:cs="Times New Roman"/>
          <w:i/>
          <w:iCs/>
          <w:sz w:val="20"/>
          <w:szCs w:val="20"/>
        </w:rPr>
        <w:t xml:space="preserve"> Adam Techs. Int'l SA de C.V.</w:t>
      </w:r>
      <w:r w:rsidRPr="00617A78">
        <w:rPr>
          <w:rFonts w:ascii="Times New Roman" w:hAnsi="Times New Roman" w:cs="Times New Roman"/>
          <w:sz w:val="20"/>
          <w:szCs w:val="20"/>
        </w:rPr>
        <w:t xml:space="preserve">, 639 F </w:t>
      </w:r>
      <w:proofErr w:type="spellStart"/>
      <w:r w:rsidRPr="00617A78">
        <w:rPr>
          <w:rFonts w:ascii="Times New Roman" w:hAnsi="Times New Roman" w:cs="Times New Roman"/>
          <w:sz w:val="20"/>
          <w:szCs w:val="20"/>
        </w:rPr>
        <w:t>App'x</w:t>
      </w:r>
      <w:proofErr w:type="spellEnd"/>
      <w:r w:rsidRPr="00617A78">
        <w:rPr>
          <w:rFonts w:ascii="Times New Roman" w:hAnsi="Times New Roman" w:cs="Times New Roman"/>
          <w:sz w:val="20"/>
          <w:szCs w:val="20"/>
        </w:rPr>
        <w:t xml:space="preserve"> 697, 699 (2d Cir. 2016) (citing </w:t>
      </w:r>
      <w:r w:rsidRPr="00617A78">
        <w:rPr>
          <w:rFonts w:ascii="Times New Roman" w:hAnsi="Times New Roman" w:cs="Times New Roman"/>
          <w:i/>
          <w:sz w:val="20"/>
          <w:szCs w:val="20"/>
        </w:rPr>
        <w:t>Hall Street</w:t>
      </w:r>
      <w:r w:rsidRPr="00617A78">
        <w:rPr>
          <w:rFonts w:ascii="Times New Roman" w:hAnsi="Times New Roman" w:cs="Times New Roman"/>
          <w:sz w:val="20"/>
          <w:szCs w:val="20"/>
        </w:rPr>
        <w:t xml:space="preserve">, 552 U.S. at 584). </w:t>
      </w:r>
    </w:p>
  </w:footnote>
  <w:footnote w:id="110">
    <w:p w14:paraId="669D662D" w14:textId="2DDE864E" w:rsidR="00AD3492" w:rsidRPr="00617A78" w:rsidRDefault="00AD3492" w:rsidP="005F1430">
      <w:pPr>
        <w:widowControl w:val="0"/>
        <w:autoSpaceDE w:val="0"/>
        <w:autoSpaceDN w:val="0"/>
        <w:adjustRightInd w:val="0"/>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r w:rsidRPr="00617A78">
        <w:rPr>
          <w:rFonts w:ascii="Times New Roman" w:hAnsi="Times New Roman" w:cs="Times New Roman"/>
          <w:i/>
          <w:iCs/>
          <w:sz w:val="20"/>
          <w:szCs w:val="20"/>
        </w:rPr>
        <w:t>Sutherland Global</w:t>
      </w:r>
      <w:r w:rsidRPr="00617A78">
        <w:rPr>
          <w:rFonts w:ascii="Times New Roman" w:hAnsi="Times New Roman" w:cs="Times New Roman"/>
          <w:iCs/>
          <w:sz w:val="20"/>
          <w:szCs w:val="20"/>
        </w:rPr>
        <w:t>,</w:t>
      </w:r>
      <w:r w:rsidRPr="00617A78">
        <w:rPr>
          <w:rFonts w:ascii="Times New Roman" w:hAnsi="Times New Roman" w:cs="Times New Roman"/>
          <w:i/>
          <w:iCs/>
          <w:sz w:val="20"/>
          <w:szCs w:val="20"/>
        </w:rPr>
        <w:t xml:space="preserve"> </w:t>
      </w:r>
      <w:r w:rsidRPr="00617A78">
        <w:rPr>
          <w:rFonts w:ascii="Times New Roman" w:hAnsi="Times New Roman" w:cs="Times New Roman"/>
          <w:sz w:val="20"/>
          <w:szCs w:val="20"/>
        </w:rPr>
        <w:t xml:space="preserve">639 F </w:t>
      </w:r>
      <w:proofErr w:type="spellStart"/>
      <w:r w:rsidRPr="00617A78">
        <w:rPr>
          <w:rFonts w:ascii="Times New Roman" w:hAnsi="Times New Roman" w:cs="Times New Roman"/>
          <w:sz w:val="20"/>
          <w:szCs w:val="20"/>
        </w:rPr>
        <w:t>App'x</w:t>
      </w:r>
      <w:proofErr w:type="spellEnd"/>
      <w:r w:rsidRPr="00617A78">
        <w:rPr>
          <w:rFonts w:ascii="Times New Roman" w:hAnsi="Times New Roman" w:cs="Times New Roman"/>
          <w:sz w:val="20"/>
          <w:szCs w:val="20"/>
        </w:rPr>
        <w:t xml:space="preserve"> at 699 (citing </w:t>
      </w:r>
      <w:r w:rsidRPr="00617A78">
        <w:rPr>
          <w:rFonts w:ascii="Times New Roman" w:hAnsi="Times New Roman" w:cs="Times New Roman"/>
          <w:i/>
          <w:iCs/>
          <w:sz w:val="20"/>
          <w:szCs w:val="20"/>
        </w:rPr>
        <w:t>Schwartz v. Merrill Lynch &amp; Co.</w:t>
      </w:r>
      <w:r w:rsidRPr="00617A78">
        <w:rPr>
          <w:rFonts w:ascii="Times New Roman" w:hAnsi="Times New Roman" w:cs="Times New Roman"/>
          <w:sz w:val="20"/>
          <w:szCs w:val="20"/>
        </w:rPr>
        <w:t xml:space="preserve">, 665 F.3d 444, 451-52 (2d Cir. 2011) (quoting </w:t>
      </w:r>
      <w:proofErr w:type="spellStart"/>
      <w:r w:rsidRPr="00617A78">
        <w:rPr>
          <w:rFonts w:ascii="Times New Roman" w:hAnsi="Times New Roman" w:cs="Times New Roman"/>
          <w:i/>
          <w:iCs/>
          <w:sz w:val="20"/>
          <w:szCs w:val="20"/>
        </w:rPr>
        <w:t>T.Co</w:t>
      </w:r>
      <w:proofErr w:type="spellEnd"/>
      <w:r w:rsidRPr="00617A78">
        <w:rPr>
          <w:rFonts w:ascii="Times New Roman" w:hAnsi="Times New Roman" w:cs="Times New Roman"/>
          <w:i/>
          <w:iCs/>
          <w:sz w:val="20"/>
          <w:szCs w:val="20"/>
        </w:rPr>
        <w:t xml:space="preserve"> Metals, LLC v. Dempsey Pipe &amp; Supply, Inc.</w:t>
      </w:r>
      <w:r w:rsidRPr="00617A78">
        <w:rPr>
          <w:rFonts w:ascii="Times New Roman" w:hAnsi="Times New Roman" w:cs="Times New Roman"/>
          <w:sz w:val="20"/>
          <w:szCs w:val="20"/>
        </w:rPr>
        <w:t>, 592 F.3d 329, 340 (2d Cir. 2010))).</w:t>
      </w:r>
    </w:p>
  </w:footnote>
  <w:footnote w:id="111">
    <w:p w14:paraId="6254A950" w14:textId="4C7B9F8D" w:rsidR="00AD3492" w:rsidRPr="00617A78" w:rsidRDefault="00AD3492" w:rsidP="007C587F">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proofErr w:type="spellStart"/>
      <w:proofErr w:type="gramStart"/>
      <w:r w:rsidRPr="00617A78">
        <w:rPr>
          <w:rFonts w:ascii="Times New Roman" w:hAnsi="Times New Roman" w:cs="Times New Roman"/>
          <w:sz w:val="20"/>
          <w:szCs w:val="20"/>
        </w:rPr>
        <w:t>Leasure</w:t>
      </w:r>
      <w:proofErr w:type="spellEnd"/>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_Ref355711964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80</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 at 96; C</w:t>
      </w:r>
      <w:r w:rsidRPr="00617A78">
        <w:rPr>
          <w:rFonts w:ascii="Times New Roman" w:hAnsi="Times New Roman" w:cs="Times New Roman"/>
          <w:i/>
          <w:iCs/>
          <w:sz w:val="20"/>
          <w:szCs w:val="20"/>
        </w:rPr>
        <w:t xml:space="preserve">omedy Club, Inc. v </w:t>
      </w:r>
      <w:proofErr w:type="spellStart"/>
      <w:r w:rsidRPr="00617A78">
        <w:rPr>
          <w:rFonts w:ascii="Times New Roman" w:hAnsi="Times New Roman" w:cs="Times New Roman"/>
          <w:i/>
          <w:iCs/>
          <w:sz w:val="20"/>
          <w:szCs w:val="20"/>
        </w:rPr>
        <w:t>Improv</w:t>
      </w:r>
      <w:proofErr w:type="spellEnd"/>
      <w:r w:rsidRPr="00617A78">
        <w:rPr>
          <w:rFonts w:ascii="Times New Roman" w:hAnsi="Times New Roman" w:cs="Times New Roman"/>
          <w:i/>
          <w:iCs/>
          <w:sz w:val="20"/>
          <w:szCs w:val="20"/>
        </w:rPr>
        <w:t xml:space="preserve"> W. Assocs.</w:t>
      </w:r>
      <w:r w:rsidRPr="00617A78">
        <w:rPr>
          <w:rFonts w:ascii="Times New Roman" w:hAnsi="Times New Roman" w:cs="Times New Roman"/>
          <w:sz w:val="20"/>
          <w:szCs w:val="20"/>
        </w:rPr>
        <w:t>, 553 F.3d 1277 (9th Cir 2009).</w:t>
      </w:r>
      <w:proofErr w:type="gramEnd"/>
    </w:p>
  </w:footnote>
  <w:footnote w:id="112">
    <w:p w14:paraId="64F055FA" w14:textId="686DB9A9" w:rsidR="00AD3492" w:rsidRPr="00617A78" w:rsidRDefault="00AD3492" w:rsidP="007C587F">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proofErr w:type="gramStart"/>
      <w:r w:rsidRPr="00617A78">
        <w:rPr>
          <w:rFonts w:ascii="Times New Roman" w:hAnsi="Times New Roman" w:cs="Times New Roman"/>
          <w:sz w:val="20"/>
          <w:szCs w:val="20"/>
        </w:rPr>
        <w:t>C</w:t>
      </w:r>
      <w:r w:rsidRPr="00617A78">
        <w:rPr>
          <w:rFonts w:ascii="Times New Roman" w:hAnsi="Times New Roman" w:cs="Times New Roman"/>
          <w:i/>
          <w:iCs/>
          <w:sz w:val="20"/>
          <w:szCs w:val="20"/>
        </w:rPr>
        <w:t xml:space="preserve">omedy Club, Inc. v </w:t>
      </w:r>
      <w:proofErr w:type="spellStart"/>
      <w:r w:rsidRPr="00617A78">
        <w:rPr>
          <w:rFonts w:ascii="Times New Roman" w:hAnsi="Times New Roman" w:cs="Times New Roman"/>
          <w:i/>
          <w:iCs/>
          <w:sz w:val="20"/>
          <w:szCs w:val="20"/>
        </w:rPr>
        <w:t>Improv</w:t>
      </w:r>
      <w:proofErr w:type="spellEnd"/>
      <w:r w:rsidRPr="00617A78">
        <w:rPr>
          <w:rFonts w:ascii="Times New Roman" w:hAnsi="Times New Roman" w:cs="Times New Roman"/>
          <w:i/>
          <w:iCs/>
          <w:sz w:val="20"/>
          <w:szCs w:val="20"/>
        </w:rPr>
        <w:t xml:space="preserve"> W. Assocs.</w:t>
      </w:r>
      <w:r w:rsidRPr="00617A78">
        <w:rPr>
          <w:rFonts w:ascii="Times New Roman" w:hAnsi="Times New Roman" w:cs="Times New Roman"/>
          <w:sz w:val="20"/>
          <w:szCs w:val="20"/>
        </w:rPr>
        <w:t>, 553 F.3d 1277, 1290 (9th Cir 2009).</w:t>
      </w:r>
      <w:proofErr w:type="gramEnd"/>
    </w:p>
  </w:footnote>
  <w:footnote w:id="113">
    <w:p w14:paraId="731F3195" w14:textId="769BC822" w:rsidR="00AD3492" w:rsidRPr="00617A78" w:rsidRDefault="00AD3492" w:rsidP="007C587F">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proofErr w:type="spellStart"/>
      <w:r w:rsidRPr="00617A78">
        <w:rPr>
          <w:rFonts w:ascii="Times New Roman" w:hAnsi="Times New Roman" w:cs="Times New Roman"/>
          <w:sz w:val="20"/>
          <w:szCs w:val="20"/>
        </w:rPr>
        <w:t>Rephan</w:t>
      </w:r>
      <w:proofErr w:type="spellEnd"/>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_Ref355713371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96</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w:t>
      </w:r>
    </w:p>
  </w:footnote>
  <w:footnote w:id="114">
    <w:p w14:paraId="0EBE1233" w14:textId="57832CE1" w:rsidR="00AD3492" w:rsidRPr="00617A78" w:rsidRDefault="00AD3492" w:rsidP="007C587F">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C</w:t>
      </w:r>
      <w:r w:rsidRPr="00617A78">
        <w:rPr>
          <w:rFonts w:ascii="Times New Roman" w:hAnsi="Times New Roman" w:cs="Times New Roman"/>
          <w:i/>
          <w:iCs/>
          <w:sz w:val="20"/>
          <w:szCs w:val="20"/>
        </w:rPr>
        <w:t>omedy Club</w:t>
      </w:r>
      <w:r w:rsidRPr="00617A78">
        <w:rPr>
          <w:rFonts w:ascii="Times New Roman" w:hAnsi="Times New Roman" w:cs="Times New Roman"/>
          <w:iCs/>
          <w:sz w:val="20"/>
          <w:szCs w:val="20"/>
        </w:rPr>
        <w:t>,</w:t>
      </w:r>
      <w:r w:rsidRPr="00617A78">
        <w:rPr>
          <w:rFonts w:ascii="Times New Roman" w:hAnsi="Times New Roman" w:cs="Times New Roman"/>
          <w:i/>
          <w:iCs/>
          <w:sz w:val="20"/>
          <w:szCs w:val="20"/>
        </w:rPr>
        <w:t xml:space="preserve"> </w:t>
      </w:r>
      <w:proofErr w:type="gramStart"/>
      <w:r w:rsidRPr="00617A78">
        <w:rPr>
          <w:rFonts w:ascii="Times New Roman" w:hAnsi="Times New Roman" w:cs="Times New Roman"/>
          <w:sz w:val="20"/>
          <w:szCs w:val="20"/>
        </w:rPr>
        <w:t>553 F.3d at 1290, 1283</w:t>
      </w:r>
      <w:proofErr w:type="gramEnd"/>
      <w:r w:rsidRPr="00617A78">
        <w:rPr>
          <w:rFonts w:ascii="Times New Roman" w:hAnsi="Times New Roman" w:cs="Times New Roman"/>
          <w:sz w:val="20"/>
          <w:szCs w:val="20"/>
        </w:rPr>
        <w:t>.</w:t>
      </w:r>
    </w:p>
  </w:footnote>
  <w:footnote w:id="115">
    <w:p w14:paraId="2CCCE5C0" w14:textId="02963530" w:rsidR="00AD3492" w:rsidRPr="00617A78" w:rsidRDefault="00AD3492" w:rsidP="007C587F">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proofErr w:type="gramStart"/>
      <w:r w:rsidRPr="00617A78">
        <w:rPr>
          <w:rFonts w:ascii="Times New Roman" w:hAnsi="Times New Roman" w:cs="Times New Roman"/>
          <w:i/>
          <w:iCs/>
          <w:sz w:val="20"/>
          <w:szCs w:val="20"/>
        </w:rPr>
        <w:t xml:space="preserve">Id. </w:t>
      </w:r>
      <w:r w:rsidRPr="00617A78">
        <w:rPr>
          <w:rFonts w:ascii="Times New Roman" w:hAnsi="Times New Roman" w:cs="Times New Roman"/>
          <w:iCs/>
          <w:sz w:val="20"/>
          <w:szCs w:val="20"/>
        </w:rPr>
        <w:t>at</w:t>
      </w:r>
      <w:r w:rsidRPr="00617A78">
        <w:rPr>
          <w:rFonts w:ascii="Times New Roman" w:hAnsi="Times New Roman" w:cs="Times New Roman"/>
          <w:sz w:val="20"/>
          <w:szCs w:val="20"/>
        </w:rPr>
        <w:t xml:space="preserve"> 1283.</w:t>
      </w:r>
      <w:proofErr w:type="gramEnd"/>
    </w:p>
  </w:footnote>
  <w:footnote w:id="116">
    <w:p w14:paraId="4B96CB92" w14:textId="29D9C72D" w:rsidR="00AD3492" w:rsidRPr="00617A78" w:rsidRDefault="00AD3492" w:rsidP="007C587F">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r w:rsidRPr="00617A78">
        <w:rPr>
          <w:rFonts w:ascii="Times New Roman" w:hAnsi="Times New Roman" w:cs="Times New Roman"/>
          <w:i/>
          <w:iCs/>
          <w:sz w:val="20"/>
          <w:szCs w:val="20"/>
        </w:rPr>
        <w:t>Wetzel's Pretzels, LLC v Johnson</w:t>
      </w:r>
      <w:r w:rsidRPr="00617A78">
        <w:rPr>
          <w:rFonts w:ascii="Times New Roman" w:hAnsi="Times New Roman" w:cs="Times New Roman"/>
          <w:sz w:val="20"/>
          <w:szCs w:val="20"/>
        </w:rPr>
        <w:t xml:space="preserve">, 567 F </w:t>
      </w:r>
      <w:proofErr w:type="spellStart"/>
      <w:r w:rsidRPr="00617A78">
        <w:rPr>
          <w:rFonts w:ascii="Times New Roman" w:hAnsi="Times New Roman" w:cs="Times New Roman"/>
          <w:sz w:val="20"/>
          <w:szCs w:val="20"/>
        </w:rPr>
        <w:t>App'x</w:t>
      </w:r>
      <w:proofErr w:type="spellEnd"/>
      <w:r w:rsidRPr="00617A78">
        <w:rPr>
          <w:rFonts w:ascii="Times New Roman" w:hAnsi="Times New Roman" w:cs="Times New Roman"/>
          <w:sz w:val="20"/>
          <w:szCs w:val="20"/>
        </w:rPr>
        <w:t xml:space="preserve"> 493, 494 (9th Cir. 2014)</w:t>
      </w:r>
      <w:r w:rsidRPr="00617A78">
        <w:rPr>
          <w:rFonts w:ascii="Times New Roman" w:hAnsi="Times New Roman" w:cs="Times New Roman"/>
          <w:i/>
          <w:iCs/>
          <w:sz w:val="20"/>
          <w:szCs w:val="20"/>
        </w:rPr>
        <w:t xml:space="preserve"> </w:t>
      </w:r>
      <w:r w:rsidRPr="00617A78">
        <w:rPr>
          <w:rFonts w:ascii="Times New Roman" w:hAnsi="Times New Roman" w:cs="Times New Roman"/>
          <w:iCs/>
          <w:sz w:val="20"/>
          <w:szCs w:val="20"/>
        </w:rPr>
        <w:t xml:space="preserve">(citing </w:t>
      </w:r>
      <w:r w:rsidRPr="00617A78">
        <w:rPr>
          <w:rFonts w:ascii="Times New Roman" w:hAnsi="Times New Roman" w:cs="Times New Roman"/>
          <w:i/>
          <w:iCs/>
          <w:sz w:val="20"/>
          <w:szCs w:val="20"/>
        </w:rPr>
        <w:t>Biller v. Toyota Motor Corp.,</w:t>
      </w:r>
      <w:r w:rsidRPr="00617A78">
        <w:rPr>
          <w:rFonts w:ascii="Times New Roman" w:hAnsi="Times New Roman" w:cs="Times New Roman"/>
          <w:sz w:val="20"/>
          <w:szCs w:val="20"/>
        </w:rPr>
        <w:t xml:space="preserve"> 668 F.3d 655, 665 (9th Cir. 2012) (internal quotation marks and citations omitted)).</w:t>
      </w:r>
    </w:p>
  </w:footnote>
  <w:footnote w:id="117">
    <w:p w14:paraId="3E7917C2" w14:textId="7603D281" w:rsidR="00AD3492" w:rsidRPr="00617A78" w:rsidRDefault="00AD3492" w:rsidP="00AE64C9">
      <w:pPr>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Id</w:t>
      </w:r>
      <w:r w:rsidRPr="00617A78">
        <w:rPr>
          <w:rFonts w:ascii="Times New Roman" w:hAnsi="Times New Roman" w:cs="Times New Roman"/>
          <w:sz w:val="20"/>
          <w:szCs w:val="20"/>
        </w:rPr>
        <w:t>.</w:t>
      </w:r>
    </w:p>
  </w:footnote>
  <w:footnote w:id="118">
    <w:p w14:paraId="5DB6C9CC" w14:textId="422D0E52" w:rsidR="00AD3492" w:rsidRPr="00617A78" w:rsidRDefault="00AD3492" w:rsidP="00983FEC">
      <w:pPr>
        <w:rPr>
          <w:rFonts w:ascii="Times New Roman" w:hAnsi="Times New Roman" w:cs="Times New Roman"/>
          <w:b/>
          <w:sz w:val="20"/>
          <w:szCs w:val="20"/>
          <w:u w:val="single"/>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 xml:space="preserve">See </w:t>
      </w:r>
      <w:r w:rsidRPr="00617A78">
        <w:rPr>
          <w:rFonts w:ascii="Times New Roman" w:hAnsi="Times New Roman" w:cs="Times New Roman"/>
          <w:i/>
          <w:iCs/>
          <w:sz w:val="20"/>
          <w:szCs w:val="20"/>
        </w:rPr>
        <w:t>Wachovia Sec., LLC v Brand</w:t>
      </w:r>
      <w:r w:rsidRPr="00617A78">
        <w:rPr>
          <w:rFonts w:ascii="Times New Roman" w:hAnsi="Times New Roman" w:cs="Times New Roman"/>
          <w:sz w:val="20"/>
          <w:szCs w:val="20"/>
        </w:rPr>
        <w:t xml:space="preserve">, 671 F3d 472, 483 (4th Cir. 2012) (“[W]e adopted a two-part test that a party must meet in order for a reviewing court to vacate for manifest disregard: ‘(1) the applicable legal principle is clearly defined and not  subject to reasonable debate; and (2) the arbitrator[ ] refused to heed that legal principle.’ We do not read </w:t>
      </w:r>
      <w:r w:rsidRPr="00617A78">
        <w:rPr>
          <w:rFonts w:ascii="Times New Roman" w:hAnsi="Times New Roman" w:cs="Times New Roman"/>
          <w:i/>
          <w:iCs/>
          <w:sz w:val="20"/>
          <w:szCs w:val="20"/>
        </w:rPr>
        <w:t>Hall Street</w:t>
      </w:r>
      <w:r w:rsidRPr="00617A78">
        <w:rPr>
          <w:rFonts w:ascii="Times New Roman" w:hAnsi="Times New Roman" w:cs="Times New Roman"/>
          <w:sz w:val="20"/>
          <w:szCs w:val="20"/>
        </w:rPr>
        <w:t xml:space="preserve"> or </w:t>
      </w:r>
      <w:r w:rsidRPr="00617A78">
        <w:rPr>
          <w:rFonts w:ascii="Times New Roman" w:hAnsi="Times New Roman" w:cs="Times New Roman"/>
          <w:i/>
          <w:iCs/>
          <w:sz w:val="20"/>
          <w:szCs w:val="20"/>
        </w:rPr>
        <w:t>Stolt-Nielsen</w:t>
      </w:r>
      <w:r w:rsidRPr="00617A78">
        <w:rPr>
          <w:rFonts w:ascii="Times New Roman" w:hAnsi="Times New Roman" w:cs="Times New Roman"/>
          <w:sz w:val="20"/>
          <w:szCs w:val="20"/>
        </w:rPr>
        <w:t xml:space="preserve"> as loosening the carefully circumscribed standard that we had previously articulated for manifest disregard.” (Citation omitted)).</w:t>
      </w:r>
    </w:p>
  </w:footnote>
  <w:footnote w:id="119">
    <w:p w14:paraId="486883E8" w14:textId="0CA0FB5D" w:rsidR="00AD3492" w:rsidRPr="00617A78" w:rsidRDefault="00AD3492" w:rsidP="00983FEC">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John &amp; Ari </w:t>
      </w:r>
      <w:proofErr w:type="spellStart"/>
      <w:r w:rsidRPr="00617A78">
        <w:rPr>
          <w:rFonts w:ascii="Times New Roman" w:hAnsi="Times New Roman" w:cs="Times New Roman"/>
          <w:sz w:val="20"/>
          <w:szCs w:val="20"/>
        </w:rPr>
        <w:t>Diaconis</w:t>
      </w:r>
      <w:proofErr w:type="spellEnd"/>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_Ref355710474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23</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 at 18.</w:t>
      </w:r>
    </w:p>
  </w:footnote>
  <w:footnote w:id="120">
    <w:p w14:paraId="6C992B3A" w14:textId="6D919318" w:rsidR="00AD3492" w:rsidRPr="00617A78" w:rsidRDefault="00AD3492" w:rsidP="00983FEC">
      <w:pPr>
        <w:widowControl w:val="0"/>
        <w:autoSpaceDE w:val="0"/>
        <w:autoSpaceDN w:val="0"/>
        <w:adjustRightInd w:val="0"/>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r w:rsidRPr="00617A78">
        <w:rPr>
          <w:rFonts w:ascii="Times New Roman" w:hAnsi="Times New Roman" w:cs="Times New Roman"/>
          <w:i/>
          <w:iCs/>
          <w:sz w:val="20"/>
          <w:szCs w:val="20"/>
        </w:rPr>
        <w:t>Wachovia</w:t>
      </w:r>
      <w:r w:rsidRPr="00617A78">
        <w:rPr>
          <w:rFonts w:ascii="Times New Roman" w:hAnsi="Times New Roman" w:cs="Times New Roman"/>
          <w:sz w:val="20"/>
          <w:szCs w:val="20"/>
        </w:rPr>
        <w:t xml:space="preserve">, </w:t>
      </w:r>
      <w:proofErr w:type="gramStart"/>
      <w:r w:rsidRPr="00617A78">
        <w:rPr>
          <w:rFonts w:ascii="Times New Roman" w:hAnsi="Times New Roman" w:cs="Times New Roman"/>
          <w:sz w:val="20"/>
          <w:szCs w:val="20"/>
        </w:rPr>
        <w:t>671 F.3d at 483</w:t>
      </w:r>
      <w:proofErr w:type="gramEnd"/>
      <w:r w:rsidRPr="00617A78">
        <w:rPr>
          <w:rFonts w:ascii="Times New Roman" w:hAnsi="Times New Roman" w:cs="Times New Roman"/>
          <w:sz w:val="20"/>
          <w:szCs w:val="20"/>
        </w:rPr>
        <w:t>.</w:t>
      </w:r>
    </w:p>
  </w:footnote>
  <w:footnote w:id="121">
    <w:p w14:paraId="4B1C4901" w14:textId="0D047FFB" w:rsidR="00AD3492" w:rsidRPr="00617A78" w:rsidRDefault="00AD3492" w:rsidP="00983FEC">
      <w:pPr>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proofErr w:type="spellStart"/>
      <w:r w:rsidRPr="00617A78">
        <w:rPr>
          <w:rFonts w:ascii="Times New Roman" w:hAnsi="Times New Roman" w:cs="Times New Roman"/>
          <w:i/>
          <w:iCs/>
          <w:sz w:val="20"/>
          <w:szCs w:val="20"/>
        </w:rPr>
        <w:t>Dewan</w:t>
      </w:r>
      <w:proofErr w:type="spellEnd"/>
      <w:r w:rsidRPr="00617A78">
        <w:rPr>
          <w:rFonts w:ascii="Times New Roman" w:hAnsi="Times New Roman" w:cs="Times New Roman"/>
          <w:i/>
          <w:iCs/>
          <w:sz w:val="20"/>
          <w:szCs w:val="20"/>
        </w:rPr>
        <w:t xml:space="preserve"> v </w:t>
      </w:r>
      <w:proofErr w:type="spellStart"/>
      <w:r w:rsidRPr="00617A78">
        <w:rPr>
          <w:rFonts w:ascii="Times New Roman" w:hAnsi="Times New Roman" w:cs="Times New Roman"/>
          <w:i/>
          <w:iCs/>
          <w:sz w:val="20"/>
          <w:szCs w:val="20"/>
        </w:rPr>
        <w:t>Walia</w:t>
      </w:r>
      <w:proofErr w:type="spellEnd"/>
      <w:r w:rsidRPr="00617A78">
        <w:rPr>
          <w:rFonts w:ascii="Times New Roman" w:hAnsi="Times New Roman" w:cs="Times New Roman"/>
          <w:sz w:val="20"/>
          <w:szCs w:val="20"/>
        </w:rPr>
        <w:t xml:space="preserve">, 544 F </w:t>
      </w:r>
      <w:proofErr w:type="spellStart"/>
      <w:r w:rsidRPr="00617A78">
        <w:rPr>
          <w:rFonts w:ascii="Times New Roman" w:hAnsi="Times New Roman" w:cs="Times New Roman"/>
          <w:sz w:val="20"/>
          <w:szCs w:val="20"/>
        </w:rPr>
        <w:t>App'x</w:t>
      </w:r>
      <w:proofErr w:type="spellEnd"/>
      <w:r w:rsidRPr="00617A78">
        <w:rPr>
          <w:rFonts w:ascii="Times New Roman" w:hAnsi="Times New Roman" w:cs="Times New Roman"/>
          <w:sz w:val="20"/>
          <w:szCs w:val="20"/>
        </w:rPr>
        <w:t xml:space="preserve"> 240, 246, n 5 (4th Cir. 2013) (citing </w:t>
      </w:r>
      <w:r w:rsidRPr="00617A78">
        <w:rPr>
          <w:rFonts w:ascii="Times New Roman" w:hAnsi="Times New Roman" w:cs="Times New Roman"/>
          <w:i/>
          <w:sz w:val="20"/>
          <w:szCs w:val="20"/>
        </w:rPr>
        <w:t>Wachovia</w:t>
      </w:r>
      <w:r w:rsidRPr="00617A78">
        <w:rPr>
          <w:rFonts w:ascii="Times New Roman" w:hAnsi="Times New Roman" w:cs="Times New Roman"/>
          <w:sz w:val="20"/>
          <w:szCs w:val="20"/>
        </w:rPr>
        <w:t xml:space="preserve">, 671 F.3d at 483). </w:t>
      </w:r>
    </w:p>
  </w:footnote>
  <w:footnote w:id="122">
    <w:p w14:paraId="17298BCC" w14:textId="0D1E15BC" w:rsidR="00AD3492" w:rsidRPr="00617A78" w:rsidRDefault="00AD3492" w:rsidP="00983FEC">
      <w:pPr>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proofErr w:type="gramStart"/>
      <w:r w:rsidRPr="00617A78">
        <w:rPr>
          <w:rFonts w:ascii="Times New Roman" w:hAnsi="Times New Roman" w:cs="Times New Roman"/>
          <w:i/>
          <w:iCs/>
          <w:sz w:val="20"/>
          <w:szCs w:val="20"/>
        </w:rPr>
        <w:t xml:space="preserve">Adviser Dealer </w:t>
      </w:r>
      <w:proofErr w:type="spellStart"/>
      <w:r w:rsidRPr="00617A78">
        <w:rPr>
          <w:rFonts w:ascii="Times New Roman" w:hAnsi="Times New Roman" w:cs="Times New Roman"/>
          <w:i/>
          <w:iCs/>
          <w:sz w:val="20"/>
          <w:szCs w:val="20"/>
        </w:rPr>
        <w:t>Servs</w:t>
      </w:r>
      <w:proofErr w:type="spellEnd"/>
      <w:r w:rsidRPr="00617A78">
        <w:rPr>
          <w:rFonts w:ascii="Times New Roman" w:hAnsi="Times New Roman" w:cs="Times New Roman"/>
          <w:i/>
          <w:iCs/>
          <w:sz w:val="20"/>
          <w:szCs w:val="20"/>
        </w:rPr>
        <w:t>.</w:t>
      </w:r>
      <w:proofErr w:type="gramEnd"/>
      <w:r w:rsidRPr="00617A78">
        <w:rPr>
          <w:rFonts w:ascii="Times New Roman" w:hAnsi="Times New Roman" w:cs="Times New Roman"/>
          <w:i/>
          <w:iCs/>
          <w:sz w:val="20"/>
          <w:szCs w:val="20"/>
        </w:rPr>
        <w:t xml:space="preserve"> </w:t>
      </w:r>
      <w:proofErr w:type="gramStart"/>
      <w:r w:rsidRPr="00617A78">
        <w:rPr>
          <w:rFonts w:ascii="Times New Roman" w:hAnsi="Times New Roman" w:cs="Times New Roman"/>
          <w:i/>
          <w:iCs/>
          <w:sz w:val="20"/>
          <w:szCs w:val="20"/>
        </w:rPr>
        <w:t>v</w:t>
      </w:r>
      <w:proofErr w:type="gramEnd"/>
      <w:r w:rsidRPr="00617A78">
        <w:rPr>
          <w:rFonts w:ascii="Times New Roman" w:hAnsi="Times New Roman" w:cs="Times New Roman"/>
          <w:i/>
          <w:iCs/>
          <w:sz w:val="20"/>
          <w:szCs w:val="20"/>
        </w:rPr>
        <w:t xml:space="preserve"> Icon Advisers, Inc.</w:t>
      </w:r>
      <w:r w:rsidRPr="00617A78">
        <w:rPr>
          <w:rFonts w:ascii="Times New Roman" w:hAnsi="Times New Roman" w:cs="Times New Roman"/>
          <w:sz w:val="20"/>
          <w:szCs w:val="20"/>
        </w:rPr>
        <w:t xml:space="preserve">, 557 F. </w:t>
      </w:r>
      <w:proofErr w:type="spellStart"/>
      <w:r w:rsidRPr="00617A78">
        <w:rPr>
          <w:rFonts w:ascii="Times New Roman" w:hAnsi="Times New Roman" w:cs="Times New Roman"/>
          <w:sz w:val="20"/>
          <w:szCs w:val="20"/>
        </w:rPr>
        <w:t>App'x</w:t>
      </w:r>
      <w:proofErr w:type="spellEnd"/>
      <w:r w:rsidRPr="00617A78">
        <w:rPr>
          <w:rFonts w:ascii="Times New Roman" w:hAnsi="Times New Roman" w:cs="Times New Roman"/>
          <w:sz w:val="20"/>
          <w:szCs w:val="20"/>
        </w:rPr>
        <w:t xml:space="preserve"> 714, 717 (10th Cir. 2014) (internal citation omitted).</w:t>
      </w:r>
    </w:p>
  </w:footnote>
  <w:footnote w:id="123">
    <w:p w14:paraId="2FE4E22F" w14:textId="56347802" w:rsidR="00AD3492" w:rsidRPr="00617A78" w:rsidRDefault="00AD3492" w:rsidP="00983FEC">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proofErr w:type="gramStart"/>
      <w:r w:rsidRPr="00617A78">
        <w:rPr>
          <w:rFonts w:ascii="Times New Roman" w:hAnsi="Times New Roman" w:cs="Times New Roman"/>
          <w:i/>
          <w:iCs/>
          <w:sz w:val="20"/>
          <w:szCs w:val="20"/>
        </w:rPr>
        <w:t>Abbott v Law Off.</w:t>
      </w:r>
      <w:proofErr w:type="gramEnd"/>
      <w:r w:rsidRPr="00617A78">
        <w:rPr>
          <w:rFonts w:ascii="Times New Roman" w:hAnsi="Times New Roman" w:cs="Times New Roman"/>
          <w:i/>
          <w:iCs/>
          <w:sz w:val="20"/>
          <w:szCs w:val="20"/>
        </w:rPr>
        <w:t xml:space="preserve"> </w:t>
      </w:r>
      <w:proofErr w:type="gramStart"/>
      <w:r w:rsidRPr="00617A78">
        <w:rPr>
          <w:rFonts w:ascii="Times New Roman" w:hAnsi="Times New Roman" w:cs="Times New Roman"/>
          <w:i/>
          <w:iCs/>
          <w:sz w:val="20"/>
          <w:szCs w:val="20"/>
        </w:rPr>
        <w:t>of</w:t>
      </w:r>
      <w:proofErr w:type="gramEnd"/>
      <w:r w:rsidRPr="00617A78">
        <w:rPr>
          <w:rFonts w:ascii="Times New Roman" w:hAnsi="Times New Roman" w:cs="Times New Roman"/>
          <w:i/>
          <w:iCs/>
          <w:sz w:val="20"/>
          <w:szCs w:val="20"/>
        </w:rPr>
        <w:t xml:space="preserve"> Patrick J. Mulligan</w:t>
      </w:r>
      <w:r w:rsidRPr="00617A78">
        <w:rPr>
          <w:rFonts w:ascii="Times New Roman" w:hAnsi="Times New Roman" w:cs="Times New Roman"/>
          <w:sz w:val="20"/>
          <w:szCs w:val="20"/>
        </w:rPr>
        <w:t xml:space="preserve">, 440 F. </w:t>
      </w:r>
      <w:proofErr w:type="spellStart"/>
      <w:r w:rsidRPr="00617A78">
        <w:rPr>
          <w:rFonts w:ascii="Times New Roman" w:hAnsi="Times New Roman" w:cs="Times New Roman"/>
          <w:sz w:val="20"/>
          <w:szCs w:val="20"/>
        </w:rPr>
        <w:t>App'x</w:t>
      </w:r>
      <w:proofErr w:type="spellEnd"/>
      <w:r w:rsidRPr="00617A78">
        <w:rPr>
          <w:rFonts w:ascii="Times New Roman" w:hAnsi="Times New Roman" w:cs="Times New Roman"/>
          <w:sz w:val="20"/>
          <w:szCs w:val="20"/>
        </w:rPr>
        <w:t xml:space="preserve"> 612 (10th Cir. 2011). </w:t>
      </w:r>
    </w:p>
  </w:footnote>
  <w:footnote w:id="124">
    <w:p w14:paraId="7AC5ED14" w14:textId="655BCAFE" w:rsidR="00AD3492" w:rsidRPr="00617A78" w:rsidRDefault="00AD3492" w:rsidP="00983FEC">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proofErr w:type="spellStart"/>
      <w:r w:rsidRPr="00617A78">
        <w:rPr>
          <w:rFonts w:ascii="Times New Roman" w:hAnsi="Times New Roman" w:cs="Times New Roman"/>
          <w:sz w:val="20"/>
          <w:szCs w:val="20"/>
        </w:rPr>
        <w:t>Rephan</w:t>
      </w:r>
      <w:proofErr w:type="spellEnd"/>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_Ref355713371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96</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w:t>
      </w:r>
    </w:p>
  </w:footnote>
  <w:footnote w:id="125">
    <w:p w14:paraId="19AD5FD4" w14:textId="2E1E1C67" w:rsidR="00AD3492" w:rsidRPr="00617A78" w:rsidRDefault="00AD3492">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proofErr w:type="spellStart"/>
      <w:r w:rsidRPr="00617A78">
        <w:rPr>
          <w:rFonts w:ascii="Times New Roman" w:hAnsi="Times New Roman" w:cs="Times New Roman"/>
          <w:sz w:val="20"/>
          <w:szCs w:val="20"/>
        </w:rPr>
        <w:t>Scodro</w:t>
      </w:r>
      <w:proofErr w:type="spellEnd"/>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_Ref355705725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14</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 xml:space="preserve">, at 569. </w:t>
      </w:r>
    </w:p>
  </w:footnote>
  <w:footnote w:id="126">
    <w:p w14:paraId="1BA7867E" w14:textId="7E9447AB" w:rsidR="00AD3492" w:rsidRPr="00617A78" w:rsidRDefault="00AD3492">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 xml:space="preserve">See </w:t>
      </w:r>
      <w:r w:rsidRPr="00617A78">
        <w:rPr>
          <w:rFonts w:ascii="Times New Roman" w:hAnsi="Times New Roman" w:cs="Times New Roman"/>
          <w:sz w:val="20"/>
          <w:szCs w:val="20"/>
        </w:rPr>
        <w:t xml:space="preserve">Judith M. Stinson, </w:t>
      </w:r>
      <w:r w:rsidRPr="00617A78">
        <w:rPr>
          <w:rFonts w:ascii="Times New Roman" w:hAnsi="Times New Roman" w:cs="Times New Roman"/>
          <w:i/>
          <w:sz w:val="20"/>
          <w:szCs w:val="20"/>
        </w:rPr>
        <w:t>Why Dicta Becomes Holding and Why It Matters</w:t>
      </w:r>
      <w:r w:rsidRPr="00617A78">
        <w:rPr>
          <w:rFonts w:ascii="Times New Roman" w:hAnsi="Times New Roman" w:cs="Times New Roman"/>
          <w:sz w:val="20"/>
          <w:szCs w:val="20"/>
        </w:rPr>
        <w:t xml:space="preserve">, 76 Brook. L. Rev. (2010). </w:t>
      </w:r>
    </w:p>
  </w:footnote>
  <w:footnote w:id="127">
    <w:p w14:paraId="31A72C50" w14:textId="4DFD1B6B" w:rsidR="00AD3492" w:rsidRPr="00617A78" w:rsidRDefault="00AD3492" w:rsidP="002C6C12">
      <w:pPr>
        <w:rPr>
          <w:rFonts w:ascii="Times New Roman" w:eastAsia="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r w:rsidRPr="00617A78">
        <w:rPr>
          <w:rFonts w:ascii="Times New Roman" w:eastAsia="Times New Roman" w:hAnsi="Times New Roman" w:cs="Times New Roman"/>
          <w:sz w:val="20"/>
          <w:szCs w:val="20"/>
        </w:rPr>
        <w:t xml:space="preserve">DICTUM, Black's Law Dictionary (10th ed. 2014) </w:t>
      </w:r>
      <w:r w:rsidRPr="00617A78">
        <w:rPr>
          <w:rFonts w:ascii="Times New Roman" w:eastAsia="Times New Roman" w:hAnsi="Times New Roman" w:cs="Times New Roman"/>
          <w:bCs/>
          <w:sz w:val="20"/>
          <w:szCs w:val="20"/>
        </w:rPr>
        <w:t>(“judicial dictum</w:t>
      </w:r>
      <w:r w:rsidRPr="00617A78">
        <w:rPr>
          <w:rFonts w:ascii="Times New Roman" w:eastAsia="Times New Roman" w:hAnsi="Times New Roman" w:cs="Times New Roman"/>
          <w:sz w:val="20"/>
          <w:szCs w:val="20"/>
        </w:rPr>
        <w:t xml:space="preserve"> (1829) An opinion by a court on a question that is directly involved, briefed, and argued by counsel, and even passed on by the court, but that is not essential to the decision and therefore not binding even if it may later be accorded some weight.”).</w:t>
      </w:r>
    </w:p>
  </w:footnote>
  <w:footnote w:id="128">
    <w:p w14:paraId="720E78E9" w14:textId="6CF794F3" w:rsidR="00AD3492" w:rsidRPr="00617A78" w:rsidRDefault="00AD3492">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Hall Street</w:t>
      </w:r>
      <w:r w:rsidRPr="00617A78">
        <w:rPr>
          <w:rFonts w:ascii="Times New Roman" w:hAnsi="Times New Roman" w:cs="Times New Roman"/>
          <w:sz w:val="20"/>
          <w:szCs w:val="20"/>
        </w:rPr>
        <w:t>, 552 U.S. at 585.</w:t>
      </w:r>
    </w:p>
  </w:footnote>
  <w:footnote w:id="129">
    <w:p w14:paraId="3CA8B26E" w14:textId="6F48827D" w:rsidR="00AD3492" w:rsidRPr="00617A78" w:rsidRDefault="00AD3492" w:rsidP="00520741">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Gross,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_Ref355705266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10</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 xml:space="preserve">, at 239. </w:t>
      </w:r>
    </w:p>
  </w:footnote>
  <w:footnote w:id="130">
    <w:p w14:paraId="2ED1F084" w14:textId="790A27C6" w:rsidR="00AD3492" w:rsidRPr="00617A78" w:rsidRDefault="00AD3492" w:rsidP="00520741">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Id</w:t>
      </w:r>
      <w:r w:rsidRPr="00617A78">
        <w:rPr>
          <w:rFonts w:ascii="Times New Roman" w:hAnsi="Times New Roman" w:cs="Times New Roman"/>
          <w:sz w:val="20"/>
          <w:szCs w:val="20"/>
        </w:rPr>
        <w:t>.</w:t>
      </w:r>
    </w:p>
  </w:footnote>
  <w:footnote w:id="131">
    <w:p w14:paraId="4704C787" w14:textId="09D2239B" w:rsidR="00AD3492" w:rsidRPr="00617A78" w:rsidRDefault="00AD3492" w:rsidP="00520741">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Id</w:t>
      </w:r>
      <w:r w:rsidRPr="00617A78">
        <w:rPr>
          <w:rFonts w:ascii="Times New Roman" w:hAnsi="Times New Roman" w:cs="Times New Roman"/>
          <w:sz w:val="20"/>
          <w:szCs w:val="20"/>
        </w:rPr>
        <w:t xml:space="preserve">. </w:t>
      </w:r>
    </w:p>
  </w:footnote>
  <w:footnote w:id="132">
    <w:p w14:paraId="1D675C23" w14:textId="43C47E7C" w:rsidR="00AD3492" w:rsidRPr="00617A78" w:rsidRDefault="00AD3492" w:rsidP="00520741">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See supra</w:t>
      </w:r>
      <w:r w:rsidRPr="00617A78">
        <w:rPr>
          <w:rFonts w:ascii="Times New Roman" w:hAnsi="Times New Roman" w:cs="Times New Roman"/>
          <w:sz w:val="20"/>
          <w:szCs w:val="20"/>
        </w:rPr>
        <w:t xml:space="preserve"> Part </w:t>
      </w:r>
      <w:proofErr w:type="gramStart"/>
      <w:r w:rsidRPr="00617A78">
        <w:rPr>
          <w:rFonts w:ascii="Times New Roman" w:hAnsi="Times New Roman" w:cs="Times New Roman"/>
          <w:sz w:val="20"/>
          <w:szCs w:val="20"/>
        </w:rPr>
        <w:t>IV(</w:t>
      </w:r>
      <w:proofErr w:type="gramEnd"/>
      <w:r w:rsidRPr="00617A78">
        <w:rPr>
          <w:rFonts w:ascii="Times New Roman" w:hAnsi="Times New Roman" w:cs="Times New Roman"/>
          <w:sz w:val="20"/>
          <w:szCs w:val="20"/>
        </w:rPr>
        <w:t xml:space="preserve">d). </w:t>
      </w:r>
    </w:p>
  </w:footnote>
  <w:footnote w:id="133">
    <w:p w14:paraId="2146793E" w14:textId="2DE28BBB" w:rsidR="00AD3492" w:rsidRPr="00617A78" w:rsidRDefault="00AD3492" w:rsidP="00520741">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For more information regarding the weakening foundation of the doctrine of manifest disregard following the Supreme Court’s decision in </w:t>
      </w:r>
      <w:proofErr w:type="spellStart"/>
      <w:r w:rsidRPr="00617A78">
        <w:rPr>
          <w:rFonts w:ascii="Times New Roman" w:hAnsi="Times New Roman" w:cs="Times New Roman"/>
          <w:i/>
          <w:sz w:val="20"/>
          <w:szCs w:val="20"/>
        </w:rPr>
        <w:t>Wilko</w:t>
      </w:r>
      <w:proofErr w:type="spellEnd"/>
      <w:r w:rsidRPr="00617A78">
        <w:rPr>
          <w:rFonts w:ascii="Times New Roman" w:hAnsi="Times New Roman" w:cs="Times New Roman"/>
          <w:sz w:val="20"/>
          <w:szCs w:val="20"/>
        </w:rPr>
        <w:t>,</w:t>
      </w:r>
      <w:r w:rsidRPr="00617A78">
        <w:rPr>
          <w:rFonts w:ascii="Times New Roman" w:hAnsi="Times New Roman" w:cs="Times New Roman"/>
          <w:i/>
          <w:sz w:val="20"/>
          <w:szCs w:val="20"/>
        </w:rPr>
        <w:t xml:space="preserve"> see </w:t>
      </w:r>
      <w:proofErr w:type="gramStart"/>
      <w:r w:rsidRPr="00617A78">
        <w:rPr>
          <w:rFonts w:ascii="Times New Roman" w:hAnsi="Times New Roman" w:cs="Times New Roman"/>
          <w:sz w:val="20"/>
          <w:szCs w:val="20"/>
        </w:rPr>
        <w:t>Murphy,</w:t>
      </w:r>
      <w:proofErr w:type="gramEnd"/>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 xml:space="preserve">supra </w:t>
      </w:r>
      <w:r w:rsidRPr="00617A78">
        <w:rPr>
          <w:rFonts w:ascii="Times New Roman" w:hAnsi="Times New Roman" w:cs="Times New Roman"/>
          <w:sz w:val="20"/>
          <w:szCs w:val="20"/>
        </w:rPr>
        <w:t xml:space="preserve">note </w:t>
      </w:r>
      <w:r w:rsidRPr="00617A78">
        <w:rPr>
          <w:rFonts w:ascii="Times New Roman" w:hAnsi="Times New Roman" w:cs="Times New Roman"/>
          <w:sz w:val="20"/>
          <w:szCs w:val="20"/>
        </w:rPr>
        <w:fldChar w:fldCharType="begin"/>
      </w:r>
      <w:r w:rsidRPr="00617A78">
        <w:rPr>
          <w:rFonts w:ascii="Times New Roman" w:hAnsi="Times New Roman" w:cs="Times New Roman"/>
          <w:sz w:val="20"/>
          <w:szCs w:val="20"/>
        </w:rPr>
        <w:instrText xml:space="preserve"> NOTEREF _Ref355711260 \h </w:instrText>
      </w:r>
      <w:r w:rsidRPr="00617A78">
        <w:rPr>
          <w:rFonts w:ascii="Times New Roman" w:hAnsi="Times New Roman" w:cs="Times New Roman"/>
          <w:sz w:val="20"/>
          <w:szCs w:val="20"/>
        </w:rPr>
      </w:r>
      <w:r w:rsidRPr="00617A78">
        <w:rPr>
          <w:rFonts w:ascii="Times New Roman" w:hAnsi="Times New Roman" w:cs="Times New Roman"/>
          <w:sz w:val="20"/>
          <w:szCs w:val="20"/>
        </w:rPr>
        <w:fldChar w:fldCharType="separate"/>
      </w:r>
      <w:r w:rsidR="008A45C8">
        <w:rPr>
          <w:rFonts w:ascii="Times New Roman" w:hAnsi="Times New Roman" w:cs="Times New Roman"/>
          <w:sz w:val="20"/>
          <w:szCs w:val="20"/>
        </w:rPr>
        <w:t>69</w:t>
      </w:r>
      <w:r w:rsidRPr="00617A78">
        <w:rPr>
          <w:rFonts w:ascii="Times New Roman" w:hAnsi="Times New Roman" w:cs="Times New Roman"/>
          <w:sz w:val="20"/>
          <w:szCs w:val="20"/>
        </w:rPr>
        <w:fldChar w:fldCharType="end"/>
      </w:r>
      <w:r w:rsidRPr="00617A78">
        <w:rPr>
          <w:rFonts w:ascii="Times New Roman" w:hAnsi="Times New Roman" w:cs="Times New Roman"/>
          <w:sz w:val="20"/>
          <w:szCs w:val="20"/>
        </w:rPr>
        <w:t xml:space="preserve">, at 306. </w:t>
      </w:r>
    </w:p>
  </w:footnote>
  <w:footnote w:id="134">
    <w:p w14:paraId="27A600CA" w14:textId="1A2C0FF1" w:rsidR="00AD3492" w:rsidRPr="00617A78" w:rsidRDefault="00AD3492" w:rsidP="00520741">
      <w:pPr>
        <w:pStyle w:val="FootnoteText"/>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 xml:space="preserve">See supra </w:t>
      </w:r>
      <w:r w:rsidRPr="00617A78">
        <w:rPr>
          <w:rFonts w:ascii="Times New Roman" w:hAnsi="Times New Roman" w:cs="Times New Roman"/>
          <w:sz w:val="20"/>
          <w:szCs w:val="20"/>
        </w:rPr>
        <w:t xml:space="preserve">Part </w:t>
      </w:r>
      <w:proofErr w:type="gramStart"/>
      <w:r w:rsidRPr="00617A78">
        <w:rPr>
          <w:rFonts w:ascii="Times New Roman" w:hAnsi="Times New Roman" w:cs="Times New Roman"/>
          <w:sz w:val="20"/>
          <w:szCs w:val="20"/>
        </w:rPr>
        <w:t>IV(</w:t>
      </w:r>
      <w:proofErr w:type="gramEnd"/>
      <w:r w:rsidRPr="00617A78">
        <w:rPr>
          <w:rFonts w:ascii="Times New Roman" w:hAnsi="Times New Roman" w:cs="Times New Roman"/>
          <w:sz w:val="20"/>
          <w:szCs w:val="20"/>
        </w:rPr>
        <w:t xml:space="preserve">b)-(d). </w:t>
      </w:r>
    </w:p>
  </w:footnote>
  <w:footnote w:id="135">
    <w:p w14:paraId="267900E1" w14:textId="3600B59D" w:rsidR="00AD3492" w:rsidRPr="00617A78" w:rsidRDefault="00AD3492" w:rsidP="00914A88">
      <w:pPr>
        <w:widowControl w:val="0"/>
        <w:autoSpaceDE w:val="0"/>
        <w:autoSpaceDN w:val="0"/>
        <w:adjustRightInd w:val="0"/>
        <w:rPr>
          <w:rFonts w:ascii="Times New Roman" w:hAnsi="Times New Roman" w:cs="Times New Roman"/>
          <w:sz w:val="20"/>
          <w:szCs w:val="20"/>
        </w:rPr>
      </w:pPr>
      <w:r w:rsidRPr="00617A78">
        <w:rPr>
          <w:rStyle w:val="FootnoteReference"/>
          <w:rFonts w:ascii="Times New Roman" w:hAnsi="Times New Roman" w:cs="Times New Roman"/>
          <w:sz w:val="20"/>
          <w:szCs w:val="20"/>
        </w:rPr>
        <w:footnoteRef/>
      </w:r>
      <w:r w:rsidRPr="00617A78">
        <w:rPr>
          <w:rFonts w:ascii="Times New Roman" w:hAnsi="Times New Roman" w:cs="Times New Roman"/>
          <w:sz w:val="20"/>
          <w:szCs w:val="20"/>
        </w:rPr>
        <w:t xml:space="preserve"> </w:t>
      </w:r>
      <w:r w:rsidRPr="00617A78">
        <w:rPr>
          <w:rFonts w:ascii="Times New Roman" w:hAnsi="Times New Roman" w:cs="Times New Roman"/>
          <w:i/>
          <w:sz w:val="20"/>
          <w:szCs w:val="20"/>
        </w:rPr>
        <w:t>See e.g.</w:t>
      </w:r>
      <w:r w:rsidRPr="00617A78">
        <w:rPr>
          <w:rFonts w:ascii="Times New Roman" w:hAnsi="Times New Roman" w:cs="Times New Roman"/>
          <w:sz w:val="20"/>
          <w:szCs w:val="20"/>
        </w:rPr>
        <w:t xml:space="preserve">, </w:t>
      </w:r>
      <w:r w:rsidRPr="00617A78">
        <w:rPr>
          <w:rFonts w:ascii="Times New Roman" w:hAnsi="Times New Roman" w:cs="Times New Roman"/>
          <w:i/>
          <w:iCs/>
          <w:sz w:val="20"/>
          <w:szCs w:val="20"/>
        </w:rPr>
        <w:t xml:space="preserve">Stolt-Nielsen S. A. v </w:t>
      </w:r>
      <w:proofErr w:type="spellStart"/>
      <w:r w:rsidRPr="00617A78">
        <w:rPr>
          <w:rFonts w:ascii="Times New Roman" w:hAnsi="Times New Roman" w:cs="Times New Roman"/>
          <w:i/>
          <w:iCs/>
          <w:sz w:val="20"/>
          <w:szCs w:val="20"/>
        </w:rPr>
        <w:t>AnimalFeeds</w:t>
      </w:r>
      <w:proofErr w:type="spellEnd"/>
      <w:r w:rsidRPr="00617A78">
        <w:rPr>
          <w:rFonts w:ascii="Times New Roman" w:hAnsi="Times New Roman" w:cs="Times New Roman"/>
          <w:i/>
          <w:iCs/>
          <w:sz w:val="20"/>
          <w:szCs w:val="20"/>
        </w:rPr>
        <w:t xml:space="preserve"> Int'l Corp.</w:t>
      </w:r>
      <w:r w:rsidRPr="00617A78">
        <w:rPr>
          <w:rFonts w:ascii="Times New Roman" w:hAnsi="Times New Roman" w:cs="Times New Roman"/>
          <w:sz w:val="20"/>
          <w:szCs w:val="20"/>
        </w:rPr>
        <w:t xml:space="preserve">, 559 U.S. 662, 672, n.3 (2010) (“We do not decide whether ‘manifest disregard’ survives our decision in </w:t>
      </w:r>
      <w:r w:rsidRPr="00617A78">
        <w:rPr>
          <w:rFonts w:ascii="Times New Roman" w:hAnsi="Times New Roman" w:cs="Times New Roman"/>
          <w:i/>
          <w:iCs/>
          <w:sz w:val="20"/>
          <w:szCs w:val="20"/>
        </w:rPr>
        <w:t>Hall Street Associates, L.L.C.</w:t>
      </w:r>
      <w:r w:rsidRPr="00617A78">
        <w:rPr>
          <w:rFonts w:ascii="Times New Roman" w:hAnsi="Times New Roman" w:cs="Times New Roman"/>
          <w:sz w:val="20"/>
          <w:szCs w:val="20"/>
        </w:rPr>
        <w:t xml:space="preserve"> v. </w:t>
      </w:r>
      <w:r w:rsidRPr="00617A78">
        <w:rPr>
          <w:rFonts w:ascii="Times New Roman" w:hAnsi="Times New Roman" w:cs="Times New Roman"/>
          <w:i/>
          <w:iCs/>
          <w:sz w:val="20"/>
          <w:szCs w:val="20"/>
        </w:rPr>
        <w:t>Mattel, Inc.</w:t>
      </w:r>
      <w:r w:rsidRPr="00617A78">
        <w:rPr>
          <w:rFonts w:ascii="Times New Roman" w:hAnsi="Times New Roman" w:cs="Times New Roman"/>
          <w:sz w:val="20"/>
          <w:szCs w:val="20"/>
        </w:rPr>
        <w:t xml:space="preserve">, 552 U.S. 576, 585, 128 S. Ct. 1396, 170 L. Ed. 2d 254 (2008), as an independent ground for review or as a judicial gloss on the enumerated grounds for </w:t>
      </w:r>
      <w:proofErr w:type="spellStart"/>
      <w:r w:rsidRPr="00617A78">
        <w:rPr>
          <w:rFonts w:ascii="Times New Roman" w:hAnsi="Times New Roman" w:cs="Times New Roman"/>
          <w:sz w:val="20"/>
          <w:szCs w:val="20"/>
        </w:rPr>
        <w:t>vacatur</w:t>
      </w:r>
      <w:proofErr w:type="spellEnd"/>
      <w:r w:rsidRPr="00617A78">
        <w:rPr>
          <w:rFonts w:ascii="Times New Roman" w:hAnsi="Times New Roman" w:cs="Times New Roman"/>
          <w:sz w:val="20"/>
          <w:szCs w:val="20"/>
        </w:rPr>
        <w:t xml:space="preserve"> set forth at 9 U.S.C. § 10.”); </w:t>
      </w:r>
      <w:r w:rsidRPr="00617A78">
        <w:rPr>
          <w:rFonts w:ascii="Times New Roman" w:hAnsi="Times New Roman" w:cs="Times New Roman"/>
          <w:i/>
          <w:iCs/>
          <w:sz w:val="20"/>
          <w:szCs w:val="20"/>
        </w:rPr>
        <w:t>Campbell's Foliage, Inc. v. Fed. Crop Ins. Corp.</w:t>
      </w:r>
      <w:r w:rsidRPr="00617A78">
        <w:rPr>
          <w:rFonts w:ascii="Times New Roman" w:hAnsi="Times New Roman" w:cs="Times New Roman"/>
          <w:sz w:val="20"/>
          <w:szCs w:val="20"/>
        </w:rPr>
        <w:t xml:space="preserve">, 562 F. </w:t>
      </w:r>
      <w:proofErr w:type="spellStart"/>
      <w:r w:rsidRPr="00617A78">
        <w:rPr>
          <w:rFonts w:ascii="Times New Roman" w:hAnsi="Times New Roman" w:cs="Times New Roman"/>
          <w:sz w:val="20"/>
          <w:szCs w:val="20"/>
        </w:rPr>
        <w:t>App'x</w:t>
      </w:r>
      <w:proofErr w:type="spellEnd"/>
      <w:r w:rsidRPr="00617A78">
        <w:rPr>
          <w:rFonts w:ascii="Times New Roman" w:hAnsi="Times New Roman" w:cs="Times New Roman"/>
          <w:sz w:val="20"/>
          <w:szCs w:val="20"/>
        </w:rPr>
        <w:t xml:space="preserve"> 828 (11th Cir. 2014), </w:t>
      </w:r>
      <w:r w:rsidRPr="00617A78">
        <w:rPr>
          <w:rFonts w:ascii="Times New Roman" w:hAnsi="Times New Roman" w:cs="Times New Roman"/>
          <w:i/>
          <w:sz w:val="20"/>
          <w:szCs w:val="20"/>
        </w:rPr>
        <w:t>cert. denied</w:t>
      </w:r>
      <w:r w:rsidRPr="00617A78">
        <w:rPr>
          <w:rFonts w:ascii="Times New Roman" w:hAnsi="Times New Roman" w:cs="Times New Roman"/>
          <w:sz w:val="20"/>
          <w:szCs w:val="20"/>
        </w:rPr>
        <w:t xml:space="preserve">, __ U.S. __, 135 S. Ct. 145 (2014); </w:t>
      </w:r>
      <w:r w:rsidRPr="00617A78">
        <w:rPr>
          <w:rFonts w:ascii="Times New Roman" w:hAnsi="Times New Roman" w:cs="Times New Roman"/>
          <w:i/>
          <w:iCs/>
          <w:sz w:val="20"/>
          <w:szCs w:val="20"/>
        </w:rPr>
        <w:t>Coffee Beanery, Ltd. v. WW, L.L.C.</w:t>
      </w:r>
      <w:r w:rsidRPr="00617A78">
        <w:rPr>
          <w:rFonts w:ascii="Times New Roman" w:hAnsi="Times New Roman" w:cs="Times New Roman"/>
          <w:sz w:val="20"/>
          <w:szCs w:val="20"/>
        </w:rPr>
        <w:t xml:space="preserve">, 300 F. </w:t>
      </w:r>
      <w:proofErr w:type="spellStart"/>
      <w:r w:rsidRPr="00617A78">
        <w:rPr>
          <w:rFonts w:ascii="Times New Roman" w:hAnsi="Times New Roman" w:cs="Times New Roman"/>
          <w:sz w:val="20"/>
          <w:szCs w:val="20"/>
        </w:rPr>
        <w:t>App'x</w:t>
      </w:r>
      <w:proofErr w:type="spellEnd"/>
      <w:r w:rsidRPr="00617A78">
        <w:rPr>
          <w:rFonts w:ascii="Times New Roman" w:hAnsi="Times New Roman" w:cs="Times New Roman"/>
          <w:sz w:val="20"/>
          <w:szCs w:val="20"/>
        </w:rPr>
        <w:t xml:space="preserve"> 415 (6th Cir. 2008), </w:t>
      </w:r>
      <w:r w:rsidRPr="00617A78">
        <w:rPr>
          <w:rFonts w:ascii="Times New Roman" w:hAnsi="Times New Roman" w:cs="Times New Roman"/>
          <w:i/>
          <w:sz w:val="20"/>
          <w:szCs w:val="20"/>
        </w:rPr>
        <w:t>cert. denied</w:t>
      </w:r>
      <w:r w:rsidRPr="00617A78">
        <w:rPr>
          <w:rFonts w:ascii="Times New Roman" w:hAnsi="Times New Roman" w:cs="Times New Roman"/>
          <w:sz w:val="20"/>
          <w:szCs w:val="20"/>
        </w:rPr>
        <w:t>, 558 U.S. 819 (2009).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CE3EB" w14:textId="11B54D68" w:rsidR="00AD3492" w:rsidRPr="003A7462" w:rsidRDefault="00AD3492" w:rsidP="003A7462">
    <w:pPr>
      <w:pStyle w:val="Header"/>
      <w:jc w:val="right"/>
      <w:rPr>
        <w:rFonts w:ascii="Times New Roman" w:hAnsi="Times New Roman" w:cs="Times New Roman"/>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809AC"/>
    <w:multiLevelType w:val="hybridMultilevel"/>
    <w:tmpl w:val="994C6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4435A5"/>
    <w:multiLevelType w:val="hybridMultilevel"/>
    <w:tmpl w:val="68C021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ABD4572"/>
    <w:multiLevelType w:val="hybridMultilevel"/>
    <w:tmpl w:val="7F767578"/>
    <w:lvl w:ilvl="0" w:tplc="04090013">
      <w:start w:val="1"/>
      <w:numFmt w:val="upperRoman"/>
      <w:lvlText w:val="%1."/>
      <w:lvlJc w:val="right"/>
      <w:pPr>
        <w:ind w:left="720" w:hanging="360"/>
      </w:pPr>
    </w:lvl>
    <w:lvl w:ilvl="1" w:tplc="04090019">
      <w:start w:val="1"/>
      <w:numFmt w:val="lowerLetter"/>
      <w:lvlText w:val="%2."/>
      <w:lvlJc w:val="left"/>
      <w:pPr>
        <w:ind w:left="990" w:hanging="360"/>
      </w:pPr>
    </w:lvl>
    <w:lvl w:ilvl="2" w:tplc="0409001B">
      <w:start w:val="1"/>
      <w:numFmt w:val="lowerRoman"/>
      <w:lvlText w:val="%3."/>
      <w:lvlJc w:val="right"/>
      <w:pPr>
        <w:ind w:left="153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87F"/>
    <w:rsid w:val="00010AAF"/>
    <w:rsid w:val="00031E81"/>
    <w:rsid w:val="00037491"/>
    <w:rsid w:val="00040C17"/>
    <w:rsid w:val="00047828"/>
    <w:rsid w:val="00056368"/>
    <w:rsid w:val="000675B5"/>
    <w:rsid w:val="000725B6"/>
    <w:rsid w:val="000936BA"/>
    <w:rsid w:val="000D094A"/>
    <w:rsid w:val="000D4BF2"/>
    <w:rsid w:val="000F56AD"/>
    <w:rsid w:val="000F5BF6"/>
    <w:rsid w:val="001058C0"/>
    <w:rsid w:val="00110BD1"/>
    <w:rsid w:val="00113536"/>
    <w:rsid w:val="00122E48"/>
    <w:rsid w:val="0012665A"/>
    <w:rsid w:val="0013296D"/>
    <w:rsid w:val="00133BC1"/>
    <w:rsid w:val="00140F78"/>
    <w:rsid w:val="00143FF2"/>
    <w:rsid w:val="00150067"/>
    <w:rsid w:val="001544F6"/>
    <w:rsid w:val="00156357"/>
    <w:rsid w:val="00172851"/>
    <w:rsid w:val="001857F8"/>
    <w:rsid w:val="00187F56"/>
    <w:rsid w:val="00187F64"/>
    <w:rsid w:val="00191310"/>
    <w:rsid w:val="001A37DA"/>
    <w:rsid w:val="001A50BD"/>
    <w:rsid w:val="001C65DD"/>
    <w:rsid w:val="001E48D8"/>
    <w:rsid w:val="001F1AC6"/>
    <w:rsid w:val="00204536"/>
    <w:rsid w:val="002103AF"/>
    <w:rsid w:val="002300EF"/>
    <w:rsid w:val="00236D32"/>
    <w:rsid w:val="00237959"/>
    <w:rsid w:val="00251296"/>
    <w:rsid w:val="00254BA0"/>
    <w:rsid w:val="00266F2D"/>
    <w:rsid w:val="00284003"/>
    <w:rsid w:val="002A2A9D"/>
    <w:rsid w:val="002B18E4"/>
    <w:rsid w:val="002B196D"/>
    <w:rsid w:val="002C6114"/>
    <w:rsid w:val="002C6C12"/>
    <w:rsid w:val="003015B4"/>
    <w:rsid w:val="00301635"/>
    <w:rsid w:val="003148D0"/>
    <w:rsid w:val="00317C53"/>
    <w:rsid w:val="00327163"/>
    <w:rsid w:val="00331A9B"/>
    <w:rsid w:val="00332824"/>
    <w:rsid w:val="00370769"/>
    <w:rsid w:val="00372E29"/>
    <w:rsid w:val="00376479"/>
    <w:rsid w:val="00392DAB"/>
    <w:rsid w:val="003964A5"/>
    <w:rsid w:val="003A1E58"/>
    <w:rsid w:val="003A7462"/>
    <w:rsid w:val="003C04DE"/>
    <w:rsid w:val="003C2127"/>
    <w:rsid w:val="003C2C6F"/>
    <w:rsid w:val="003C7506"/>
    <w:rsid w:val="003D2537"/>
    <w:rsid w:val="003E0AD0"/>
    <w:rsid w:val="003F0EB9"/>
    <w:rsid w:val="004134D6"/>
    <w:rsid w:val="00423191"/>
    <w:rsid w:val="00427642"/>
    <w:rsid w:val="00430C50"/>
    <w:rsid w:val="00433D6F"/>
    <w:rsid w:val="00441828"/>
    <w:rsid w:val="004457E3"/>
    <w:rsid w:val="00446D73"/>
    <w:rsid w:val="00451EE8"/>
    <w:rsid w:val="004629C4"/>
    <w:rsid w:val="004648BB"/>
    <w:rsid w:val="00466836"/>
    <w:rsid w:val="00481518"/>
    <w:rsid w:val="0049290F"/>
    <w:rsid w:val="004970FD"/>
    <w:rsid w:val="004B20C5"/>
    <w:rsid w:val="004B43F7"/>
    <w:rsid w:val="004D038F"/>
    <w:rsid w:val="004D2501"/>
    <w:rsid w:val="004D4B3F"/>
    <w:rsid w:val="004D62D9"/>
    <w:rsid w:val="004E489B"/>
    <w:rsid w:val="004E77D6"/>
    <w:rsid w:val="005003D4"/>
    <w:rsid w:val="00512AA9"/>
    <w:rsid w:val="00520741"/>
    <w:rsid w:val="00521B37"/>
    <w:rsid w:val="005372D7"/>
    <w:rsid w:val="00560E44"/>
    <w:rsid w:val="0056230E"/>
    <w:rsid w:val="00594CAF"/>
    <w:rsid w:val="00595F3D"/>
    <w:rsid w:val="005C383C"/>
    <w:rsid w:val="005D3F8D"/>
    <w:rsid w:val="005E1DD4"/>
    <w:rsid w:val="005F1430"/>
    <w:rsid w:val="00607BD3"/>
    <w:rsid w:val="00617A78"/>
    <w:rsid w:val="006234B2"/>
    <w:rsid w:val="0062377D"/>
    <w:rsid w:val="006404A9"/>
    <w:rsid w:val="00641FC6"/>
    <w:rsid w:val="00676D5F"/>
    <w:rsid w:val="00695A86"/>
    <w:rsid w:val="006A40F4"/>
    <w:rsid w:val="006A5017"/>
    <w:rsid w:val="006B42CC"/>
    <w:rsid w:val="006B5DB0"/>
    <w:rsid w:val="006B7AAE"/>
    <w:rsid w:val="006F7BA4"/>
    <w:rsid w:val="0070340F"/>
    <w:rsid w:val="007051AF"/>
    <w:rsid w:val="00706CFA"/>
    <w:rsid w:val="007152D1"/>
    <w:rsid w:val="00733444"/>
    <w:rsid w:val="007569B8"/>
    <w:rsid w:val="00757E32"/>
    <w:rsid w:val="00764671"/>
    <w:rsid w:val="00776097"/>
    <w:rsid w:val="00785B0F"/>
    <w:rsid w:val="007A0183"/>
    <w:rsid w:val="007A04A8"/>
    <w:rsid w:val="007A0867"/>
    <w:rsid w:val="007C2B2D"/>
    <w:rsid w:val="007C587F"/>
    <w:rsid w:val="007E1BFE"/>
    <w:rsid w:val="007F5B32"/>
    <w:rsid w:val="00803E54"/>
    <w:rsid w:val="008072C1"/>
    <w:rsid w:val="00810539"/>
    <w:rsid w:val="00810E09"/>
    <w:rsid w:val="008122D0"/>
    <w:rsid w:val="0081609C"/>
    <w:rsid w:val="008307EB"/>
    <w:rsid w:val="00830CE8"/>
    <w:rsid w:val="008338D3"/>
    <w:rsid w:val="00844AF9"/>
    <w:rsid w:val="00847A69"/>
    <w:rsid w:val="008603BE"/>
    <w:rsid w:val="00865FB6"/>
    <w:rsid w:val="00871000"/>
    <w:rsid w:val="00881E13"/>
    <w:rsid w:val="00883205"/>
    <w:rsid w:val="008A45C8"/>
    <w:rsid w:val="008A65D0"/>
    <w:rsid w:val="008A7999"/>
    <w:rsid w:val="008B3E53"/>
    <w:rsid w:val="0090339A"/>
    <w:rsid w:val="0091273E"/>
    <w:rsid w:val="00914A88"/>
    <w:rsid w:val="009162E7"/>
    <w:rsid w:val="009217EC"/>
    <w:rsid w:val="00932CBB"/>
    <w:rsid w:val="0094137E"/>
    <w:rsid w:val="00966A39"/>
    <w:rsid w:val="0097652B"/>
    <w:rsid w:val="00977BCC"/>
    <w:rsid w:val="00983FEC"/>
    <w:rsid w:val="009865A7"/>
    <w:rsid w:val="00986DF0"/>
    <w:rsid w:val="00987247"/>
    <w:rsid w:val="009940FA"/>
    <w:rsid w:val="00994F24"/>
    <w:rsid w:val="009B2DFF"/>
    <w:rsid w:val="009C1F79"/>
    <w:rsid w:val="009C36E4"/>
    <w:rsid w:val="009C6F11"/>
    <w:rsid w:val="009D00CE"/>
    <w:rsid w:val="009E0539"/>
    <w:rsid w:val="00A050C2"/>
    <w:rsid w:val="00A2561C"/>
    <w:rsid w:val="00A721B4"/>
    <w:rsid w:val="00AA4C60"/>
    <w:rsid w:val="00AD3492"/>
    <w:rsid w:val="00AD3F92"/>
    <w:rsid w:val="00AE391E"/>
    <w:rsid w:val="00AE64C9"/>
    <w:rsid w:val="00AE69EA"/>
    <w:rsid w:val="00B13F8B"/>
    <w:rsid w:val="00B15CF3"/>
    <w:rsid w:val="00B2283F"/>
    <w:rsid w:val="00B26E23"/>
    <w:rsid w:val="00B366B7"/>
    <w:rsid w:val="00B42DD4"/>
    <w:rsid w:val="00B50C82"/>
    <w:rsid w:val="00B60A1F"/>
    <w:rsid w:val="00B61427"/>
    <w:rsid w:val="00B72A31"/>
    <w:rsid w:val="00B7365A"/>
    <w:rsid w:val="00B90720"/>
    <w:rsid w:val="00B95420"/>
    <w:rsid w:val="00BB304C"/>
    <w:rsid w:val="00BB6DEA"/>
    <w:rsid w:val="00BB7AC2"/>
    <w:rsid w:val="00BB7C2C"/>
    <w:rsid w:val="00BC3CBB"/>
    <w:rsid w:val="00BD3CE6"/>
    <w:rsid w:val="00BE1E4E"/>
    <w:rsid w:val="00BE6006"/>
    <w:rsid w:val="00C0127A"/>
    <w:rsid w:val="00C1332C"/>
    <w:rsid w:val="00C32624"/>
    <w:rsid w:val="00C47F82"/>
    <w:rsid w:val="00C57378"/>
    <w:rsid w:val="00C653E0"/>
    <w:rsid w:val="00C70E7E"/>
    <w:rsid w:val="00CD230F"/>
    <w:rsid w:val="00CD2BE5"/>
    <w:rsid w:val="00D1527F"/>
    <w:rsid w:val="00D15D4D"/>
    <w:rsid w:val="00D16EE0"/>
    <w:rsid w:val="00D21602"/>
    <w:rsid w:val="00D375C7"/>
    <w:rsid w:val="00D67DE9"/>
    <w:rsid w:val="00D715A2"/>
    <w:rsid w:val="00D86932"/>
    <w:rsid w:val="00D91179"/>
    <w:rsid w:val="00D9498E"/>
    <w:rsid w:val="00DA20ED"/>
    <w:rsid w:val="00DC329E"/>
    <w:rsid w:val="00DC6AD9"/>
    <w:rsid w:val="00DD4874"/>
    <w:rsid w:val="00DD65E5"/>
    <w:rsid w:val="00DE680E"/>
    <w:rsid w:val="00E22FCC"/>
    <w:rsid w:val="00E260EA"/>
    <w:rsid w:val="00E31A99"/>
    <w:rsid w:val="00E4767E"/>
    <w:rsid w:val="00E537A5"/>
    <w:rsid w:val="00E5523C"/>
    <w:rsid w:val="00E613AA"/>
    <w:rsid w:val="00E65C4D"/>
    <w:rsid w:val="00E81B71"/>
    <w:rsid w:val="00E92087"/>
    <w:rsid w:val="00E92CDE"/>
    <w:rsid w:val="00E97758"/>
    <w:rsid w:val="00EA32A7"/>
    <w:rsid w:val="00EA6D0F"/>
    <w:rsid w:val="00EC4CFF"/>
    <w:rsid w:val="00EF2851"/>
    <w:rsid w:val="00F00F79"/>
    <w:rsid w:val="00F06EF0"/>
    <w:rsid w:val="00F07A51"/>
    <w:rsid w:val="00F15165"/>
    <w:rsid w:val="00F16563"/>
    <w:rsid w:val="00F22D5C"/>
    <w:rsid w:val="00F310C2"/>
    <w:rsid w:val="00F3268E"/>
    <w:rsid w:val="00F32E93"/>
    <w:rsid w:val="00F51D28"/>
    <w:rsid w:val="00F53C7A"/>
    <w:rsid w:val="00F544B1"/>
    <w:rsid w:val="00F57F60"/>
    <w:rsid w:val="00F608A4"/>
    <w:rsid w:val="00F864C1"/>
    <w:rsid w:val="00F94DF9"/>
    <w:rsid w:val="00FA14F6"/>
    <w:rsid w:val="00FB1F8A"/>
    <w:rsid w:val="00FB575C"/>
    <w:rsid w:val="00FC7152"/>
    <w:rsid w:val="00FF0DC3"/>
    <w:rsid w:val="00FF2F31"/>
    <w:rsid w:val="00FF4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D50B0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8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87F"/>
    <w:pPr>
      <w:ind w:left="720"/>
      <w:contextualSpacing/>
    </w:pPr>
  </w:style>
  <w:style w:type="paragraph" w:styleId="FootnoteText">
    <w:name w:val="footnote text"/>
    <w:basedOn w:val="Normal"/>
    <w:link w:val="FootnoteTextChar"/>
    <w:uiPriority w:val="99"/>
    <w:unhideWhenUsed/>
    <w:rsid w:val="007C587F"/>
  </w:style>
  <w:style w:type="character" w:customStyle="1" w:styleId="FootnoteTextChar">
    <w:name w:val="Footnote Text Char"/>
    <w:basedOn w:val="DefaultParagraphFont"/>
    <w:link w:val="FootnoteText"/>
    <w:uiPriority w:val="99"/>
    <w:rsid w:val="007C587F"/>
  </w:style>
  <w:style w:type="character" w:styleId="FootnoteReference">
    <w:name w:val="footnote reference"/>
    <w:basedOn w:val="DefaultParagraphFont"/>
    <w:uiPriority w:val="99"/>
    <w:unhideWhenUsed/>
    <w:rsid w:val="007C587F"/>
    <w:rPr>
      <w:vertAlign w:val="superscript"/>
    </w:rPr>
  </w:style>
  <w:style w:type="paragraph" w:styleId="Footer">
    <w:name w:val="footer"/>
    <w:basedOn w:val="Normal"/>
    <w:link w:val="FooterChar"/>
    <w:uiPriority w:val="99"/>
    <w:unhideWhenUsed/>
    <w:rsid w:val="007C587F"/>
    <w:pPr>
      <w:tabs>
        <w:tab w:val="center" w:pos="4320"/>
        <w:tab w:val="right" w:pos="8640"/>
      </w:tabs>
    </w:pPr>
  </w:style>
  <w:style w:type="character" w:customStyle="1" w:styleId="FooterChar">
    <w:name w:val="Footer Char"/>
    <w:basedOn w:val="DefaultParagraphFont"/>
    <w:link w:val="Footer"/>
    <w:uiPriority w:val="99"/>
    <w:rsid w:val="007C587F"/>
  </w:style>
  <w:style w:type="character" w:styleId="PageNumber">
    <w:name w:val="page number"/>
    <w:basedOn w:val="DefaultParagraphFont"/>
    <w:uiPriority w:val="99"/>
    <w:semiHidden/>
    <w:unhideWhenUsed/>
    <w:rsid w:val="007C587F"/>
  </w:style>
  <w:style w:type="paragraph" w:styleId="BalloonText">
    <w:name w:val="Balloon Text"/>
    <w:basedOn w:val="Normal"/>
    <w:link w:val="BalloonTextChar"/>
    <w:uiPriority w:val="99"/>
    <w:semiHidden/>
    <w:unhideWhenUsed/>
    <w:rsid w:val="007C587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587F"/>
    <w:rPr>
      <w:rFonts w:ascii="Lucida Grande" w:hAnsi="Lucida Grande" w:cs="Lucida Grande"/>
      <w:sz w:val="18"/>
      <w:szCs w:val="18"/>
    </w:rPr>
  </w:style>
  <w:style w:type="paragraph" w:styleId="Header">
    <w:name w:val="header"/>
    <w:basedOn w:val="Normal"/>
    <w:link w:val="HeaderChar"/>
    <w:uiPriority w:val="99"/>
    <w:unhideWhenUsed/>
    <w:rsid w:val="003A7462"/>
    <w:pPr>
      <w:tabs>
        <w:tab w:val="center" w:pos="4320"/>
        <w:tab w:val="right" w:pos="8640"/>
      </w:tabs>
    </w:pPr>
  </w:style>
  <w:style w:type="character" w:customStyle="1" w:styleId="HeaderChar">
    <w:name w:val="Header Char"/>
    <w:basedOn w:val="DefaultParagraphFont"/>
    <w:link w:val="Header"/>
    <w:uiPriority w:val="99"/>
    <w:rsid w:val="003A7462"/>
  </w:style>
  <w:style w:type="character" w:styleId="Hyperlink">
    <w:name w:val="Hyperlink"/>
    <w:basedOn w:val="DefaultParagraphFont"/>
    <w:uiPriority w:val="99"/>
    <w:unhideWhenUsed/>
    <w:rsid w:val="000936BA"/>
    <w:rPr>
      <w:color w:val="0000FF" w:themeColor="hyperlink"/>
      <w:u w:val="single"/>
    </w:rPr>
  </w:style>
  <w:style w:type="paragraph" w:styleId="Title">
    <w:name w:val="Title"/>
    <w:basedOn w:val="Normal"/>
    <w:next w:val="Normal"/>
    <w:link w:val="TitleChar"/>
    <w:uiPriority w:val="10"/>
    <w:qFormat/>
    <w:rsid w:val="004457E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457E3"/>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8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87F"/>
    <w:pPr>
      <w:ind w:left="720"/>
      <w:contextualSpacing/>
    </w:pPr>
  </w:style>
  <w:style w:type="paragraph" w:styleId="FootnoteText">
    <w:name w:val="footnote text"/>
    <w:basedOn w:val="Normal"/>
    <w:link w:val="FootnoteTextChar"/>
    <w:uiPriority w:val="99"/>
    <w:unhideWhenUsed/>
    <w:rsid w:val="007C587F"/>
  </w:style>
  <w:style w:type="character" w:customStyle="1" w:styleId="FootnoteTextChar">
    <w:name w:val="Footnote Text Char"/>
    <w:basedOn w:val="DefaultParagraphFont"/>
    <w:link w:val="FootnoteText"/>
    <w:uiPriority w:val="99"/>
    <w:rsid w:val="007C587F"/>
  </w:style>
  <w:style w:type="character" w:styleId="FootnoteReference">
    <w:name w:val="footnote reference"/>
    <w:basedOn w:val="DefaultParagraphFont"/>
    <w:uiPriority w:val="99"/>
    <w:unhideWhenUsed/>
    <w:rsid w:val="007C587F"/>
    <w:rPr>
      <w:vertAlign w:val="superscript"/>
    </w:rPr>
  </w:style>
  <w:style w:type="paragraph" w:styleId="Footer">
    <w:name w:val="footer"/>
    <w:basedOn w:val="Normal"/>
    <w:link w:val="FooterChar"/>
    <w:uiPriority w:val="99"/>
    <w:unhideWhenUsed/>
    <w:rsid w:val="007C587F"/>
    <w:pPr>
      <w:tabs>
        <w:tab w:val="center" w:pos="4320"/>
        <w:tab w:val="right" w:pos="8640"/>
      </w:tabs>
    </w:pPr>
  </w:style>
  <w:style w:type="character" w:customStyle="1" w:styleId="FooterChar">
    <w:name w:val="Footer Char"/>
    <w:basedOn w:val="DefaultParagraphFont"/>
    <w:link w:val="Footer"/>
    <w:uiPriority w:val="99"/>
    <w:rsid w:val="007C587F"/>
  </w:style>
  <w:style w:type="character" w:styleId="PageNumber">
    <w:name w:val="page number"/>
    <w:basedOn w:val="DefaultParagraphFont"/>
    <w:uiPriority w:val="99"/>
    <w:semiHidden/>
    <w:unhideWhenUsed/>
    <w:rsid w:val="007C587F"/>
  </w:style>
  <w:style w:type="paragraph" w:styleId="BalloonText">
    <w:name w:val="Balloon Text"/>
    <w:basedOn w:val="Normal"/>
    <w:link w:val="BalloonTextChar"/>
    <w:uiPriority w:val="99"/>
    <w:semiHidden/>
    <w:unhideWhenUsed/>
    <w:rsid w:val="007C587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587F"/>
    <w:rPr>
      <w:rFonts w:ascii="Lucida Grande" w:hAnsi="Lucida Grande" w:cs="Lucida Grande"/>
      <w:sz w:val="18"/>
      <w:szCs w:val="18"/>
    </w:rPr>
  </w:style>
  <w:style w:type="paragraph" w:styleId="Header">
    <w:name w:val="header"/>
    <w:basedOn w:val="Normal"/>
    <w:link w:val="HeaderChar"/>
    <w:uiPriority w:val="99"/>
    <w:unhideWhenUsed/>
    <w:rsid w:val="003A7462"/>
    <w:pPr>
      <w:tabs>
        <w:tab w:val="center" w:pos="4320"/>
        <w:tab w:val="right" w:pos="8640"/>
      </w:tabs>
    </w:pPr>
  </w:style>
  <w:style w:type="character" w:customStyle="1" w:styleId="HeaderChar">
    <w:name w:val="Header Char"/>
    <w:basedOn w:val="DefaultParagraphFont"/>
    <w:link w:val="Header"/>
    <w:uiPriority w:val="99"/>
    <w:rsid w:val="003A7462"/>
  </w:style>
  <w:style w:type="character" w:styleId="Hyperlink">
    <w:name w:val="Hyperlink"/>
    <w:basedOn w:val="DefaultParagraphFont"/>
    <w:uiPriority w:val="99"/>
    <w:unhideWhenUsed/>
    <w:rsid w:val="000936BA"/>
    <w:rPr>
      <w:color w:val="0000FF" w:themeColor="hyperlink"/>
      <w:u w:val="single"/>
    </w:rPr>
  </w:style>
  <w:style w:type="paragraph" w:styleId="Title">
    <w:name w:val="Title"/>
    <w:basedOn w:val="Normal"/>
    <w:next w:val="Normal"/>
    <w:link w:val="TitleChar"/>
    <w:uiPriority w:val="10"/>
    <w:qFormat/>
    <w:rsid w:val="004457E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457E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Pages>
  <Words>5518</Words>
  <Characters>31459</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dc:creator>
  <cp:lastModifiedBy>Kathy</cp:lastModifiedBy>
  <cp:revision>3</cp:revision>
  <cp:lastPrinted>2018-02-05T15:46:00Z</cp:lastPrinted>
  <dcterms:created xsi:type="dcterms:W3CDTF">2018-02-05T15:43:00Z</dcterms:created>
  <dcterms:modified xsi:type="dcterms:W3CDTF">2018-02-05T15:49:00Z</dcterms:modified>
</cp:coreProperties>
</file>